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44"/>
          <w:szCs w:val="44"/>
        </w:rPr>
        <w:t xml:space="preserve">FALCON FREIGHT SOLUTIONS</w:t>
      </w:r>
    </w:p>
    <w:p>
      <w:pPr>
        <w:spacing w:after="400"/>
        <w:jc w:val="center"/>
      </w:pPr>
      <w:r>
        <w:rPr>
          <w:i/>
          <w:iCs/>
          <w:color w:val="595959"/>
          <w:sz w:val="22"/>
          <w:szCs w:val="22"/>
        </w:rPr>
        <w:t xml:space="preserve">Freight Forwarding · Warehouse Management · Customs Clearance · Last-Mile Delivery</w:t>
      </w:r>
    </w:p>
    <w:p>
      <w:pPr>
        <w:spacing w:after="100" w:before="800"/>
        <w:jc w:val="center"/>
      </w:pPr>
      <w:r>
        <w:rPr>
          <w:b/>
          <w:bCs/>
          <w:color w:val="2E5395"/>
          <w:sz w:val="36"/>
          <w:szCs w:val="36"/>
        </w:rPr>
        <w:t xml:space="preserve">THIRD-PARTY VENDOR MANAGEMENT POLICY</w:t>
      </w:r>
    </w:p>
    <w:p>
      <w:pPr>
        <w:spacing w:after="800"/>
        <w:jc w:val="center"/>
      </w:pPr>
      <w:r>
        <w:rPr>
          <w:color w:val="595959"/>
          <w:sz w:val="24"/>
          <w:szCs w:val="24"/>
        </w:rPr>
        <w:t xml:space="preserve">Corporate Policy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pPr>
              <w:spacing w:after="40"/>
            </w:pPr>
            <w:r>
              <w:rPr>
                <w:b/>
                <w:bCs/>
                <w:color w:val="FFFFFF"/>
                <w:sz w:val="20"/>
                <w:szCs w:val="20"/>
              </w:rPr>
              <w:t xml:space="preserve">Field</w:t>
            </w:r>
          </w:p>
        </w:tc>
        <w:tc>
          <w:tcPr>
            <w:tcW w:type="dxa" w:w="6200"/>
            <w:shd w:fill="1F3864" w:val="clear"/>
            <w:tcMar>
              <w:top w:type="dxa" w:w="80"/>
              <w:left w:type="dxa" w:w="100"/>
              <w:bottom w:type="dxa" w:w="80"/>
              <w:right w:type="dxa" w:w="100"/>
            </w:tcMar>
            <w:vAlign w:val="center"/>
          </w:tcPr>
          <w:p>
            <w:pPr>
              <w:spacing w:after="40"/>
            </w:pPr>
            <w:r>
              <w:rPr>
                <w:b/>
                <w:bCs/>
                <w:color w:val="FFFFFF"/>
                <w:sz w:val="20"/>
                <w:szCs w:val="20"/>
              </w:rPr>
              <w:t xml:space="preserve">Detail</w:t>
            </w:r>
          </w:p>
        </w:tc>
      </w:tr>
      <w:tr>
        <w:tc>
          <w:tcPr>
            <w:tcW w:type="dxa" w:w="3200"/>
            <w:tcMar>
              <w:top w:type="dxa" w:w="80"/>
              <w:left w:type="dxa" w:w="100"/>
              <w:bottom w:type="dxa" w:w="80"/>
              <w:right w:type="dxa" w:w="100"/>
            </w:tcMar>
          </w:tcPr>
          <w:p>
            <w:pPr>
              <w:spacing w:after="40"/>
            </w:pPr>
            <w:r>
              <w:rPr>
                <w:sz w:val="20"/>
                <w:szCs w:val="20"/>
              </w:rPr>
              <w:t xml:space="preserve">Document Owner</w:t>
            </w:r>
          </w:p>
        </w:tc>
        <w:tc>
          <w:tcPr>
            <w:tcW w:type="dxa" w:w="6200"/>
            <w:tcMar>
              <w:top w:type="dxa" w:w="80"/>
              <w:left w:type="dxa" w:w="100"/>
              <w:bottom w:type="dxa" w:w="80"/>
              <w:right w:type="dxa" w:w="100"/>
            </w:tcMar>
          </w:tcPr>
          <w:p>
            <w:pPr>
              <w:spacing w:after="40"/>
            </w:pPr>
            <w:r>
              <w:rPr>
                <w:sz w:val="20"/>
                <w:szCs w:val="20"/>
              </w:rPr>
              <w:t xml:space="preserve">Chief Information Security Officer (CISO)</w:t>
            </w:r>
          </w:p>
        </w:tc>
      </w:tr>
      <w:tr>
        <w:tc>
          <w:tcPr>
            <w:tcW w:type="dxa" w:w="3200"/>
            <w:tcMar>
              <w:top w:type="dxa" w:w="80"/>
              <w:left w:type="dxa" w:w="100"/>
              <w:bottom w:type="dxa" w:w="80"/>
              <w:right w:type="dxa" w:w="100"/>
            </w:tcMar>
          </w:tcPr>
          <w:p>
            <w:pPr>
              <w:spacing w:after="40"/>
            </w:pPr>
            <w:r>
              <w:rPr>
                <w:sz w:val="20"/>
                <w:szCs w:val="20"/>
              </w:rPr>
              <w:t xml:space="preserve">Co-Owner</w:t>
            </w:r>
          </w:p>
        </w:tc>
        <w:tc>
          <w:tcPr>
            <w:tcW w:type="dxa" w:w="6200"/>
            <w:tcMar>
              <w:top w:type="dxa" w:w="80"/>
              <w:left w:type="dxa" w:w="100"/>
              <w:bottom w:type="dxa" w:w="80"/>
              <w:right w:type="dxa" w:w="100"/>
            </w:tcMar>
          </w:tcPr>
          <w:p>
            <w:pPr>
              <w:spacing w:after="40"/>
            </w:pPr>
            <w:r>
              <w:rPr>
                <w:sz w:val="20"/>
                <w:szCs w:val="20"/>
              </w:rPr>
              <w:t xml:space="preserve">Head of Procurement / Vendor Management</w:t>
            </w:r>
          </w:p>
        </w:tc>
      </w:tr>
      <w:tr>
        <w:tc>
          <w:tcPr>
            <w:tcW w:type="dxa" w:w="3200"/>
            <w:tcMar>
              <w:top w:type="dxa" w:w="80"/>
              <w:left w:type="dxa" w:w="100"/>
              <w:bottom w:type="dxa" w:w="80"/>
              <w:right w:type="dxa" w:w="100"/>
            </w:tcMar>
          </w:tcPr>
          <w:p>
            <w:pPr>
              <w:spacing w:after="40"/>
            </w:pPr>
            <w:r>
              <w:rPr>
                <w:sz w:val="20"/>
                <w:szCs w:val="20"/>
              </w:rPr>
              <w:t xml:space="preserve">Approved By</w:t>
            </w:r>
          </w:p>
        </w:tc>
        <w:tc>
          <w:tcPr>
            <w:tcW w:type="dxa" w:w="6200"/>
            <w:tcMar>
              <w:top w:type="dxa" w:w="80"/>
              <w:left w:type="dxa" w:w="100"/>
              <w:bottom w:type="dxa" w:w="80"/>
              <w:right w:type="dxa" w:w="100"/>
            </w:tcMar>
          </w:tcPr>
          <w:p>
            <w:pPr>
              <w:spacing w:after="40"/>
            </w:pPr>
            <w:r>
              <w:rPr>
                <w:sz w:val="20"/>
                <w:szCs w:val="20"/>
              </w:rPr>
              <w:t xml:space="preserve">Board Risk &amp; Audit Committee</w:t>
            </w:r>
          </w:p>
        </w:tc>
      </w:tr>
      <w:tr>
        <w:tc>
          <w:tcPr>
            <w:tcW w:type="dxa" w:w="3200"/>
            <w:tcMar>
              <w:top w:type="dxa" w:w="80"/>
              <w:left w:type="dxa" w:w="100"/>
              <w:bottom w:type="dxa" w:w="80"/>
              <w:right w:type="dxa" w:w="100"/>
            </w:tcMar>
          </w:tcPr>
          <w:p>
            <w:pPr>
              <w:spacing w:after="40"/>
            </w:pPr>
            <w:r>
              <w:rPr>
                <w:sz w:val="20"/>
                <w:szCs w:val="20"/>
              </w:rPr>
              <w:t xml:space="preserve">Classification</w:t>
            </w:r>
          </w:p>
        </w:tc>
        <w:tc>
          <w:tcPr>
            <w:tcW w:type="dxa" w:w="6200"/>
            <w:tcMar>
              <w:top w:type="dxa" w:w="80"/>
              <w:left w:type="dxa" w:w="100"/>
              <w:bottom w:type="dxa" w:w="80"/>
              <w:right w:type="dxa" w:w="100"/>
            </w:tcMar>
          </w:tcPr>
          <w:p>
            <w:pPr>
              <w:spacing w:after="40"/>
            </w:pPr>
            <w:r>
              <w:rPr>
                <w:sz w:val="20"/>
                <w:szCs w:val="20"/>
              </w:rPr>
              <w:t xml:space="preserve">Internal — Controlled Document</w:t>
            </w:r>
          </w:p>
        </w:tc>
      </w:tr>
      <w:tr>
        <w:tc>
          <w:tcPr>
            <w:tcW w:type="dxa" w:w="3200"/>
            <w:tcMar>
              <w:top w:type="dxa" w:w="80"/>
              <w:left w:type="dxa" w:w="100"/>
              <w:bottom w:type="dxa" w:w="80"/>
              <w:right w:type="dxa" w:w="100"/>
            </w:tcMar>
          </w:tcPr>
          <w:p>
            <w:pPr>
              <w:spacing w:after="40"/>
            </w:pPr>
            <w:r>
              <w:rPr>
                <w:sz w:val="20"/>
                <w:szCs w:val="20"/>
              </w:rPr>
              <w:t xml:space="preserve">Version</w:t>
            </w:r>
          </w:p>
        </w:tc>
        <w:tc>
          <w:tcPr>
            <w:tcW w:type="dxa" w:w="6200"/>
            <w:tcMar>
              <w:top w:type="dxa" w:w="80"/>
              <w:left w:type="dxa" w:w="100"/>
              <w:bottom w:type="dxa" w:w="80"/>
              <w:right w:type="dxa" w:w="100"/>
            </w:tcMar>
          </w:tcPr>
          <w:p>
            <w:pPr>
              <w:spacing w:after="40"/>
            </w:pPr>
            <w:r>
              <w:rPr>
                <w:sz w:val="20"/>
                <w:szCs w:val="20"/>
              </w:rPr>
              <w:t xml:space="preserve">1.0</w:t>
            </w:r>
          </w:p>
        </w:tc>
      </w:tr>
      <w:tr>
        <w:tc>
          <w:tcPr>
            <w:tcW w:type="dxa" w:w="3200"/>
            <w:tcMar>
              <w:top w:type="dxa" w:w="80"/>
              <w:left w:type="dxa" w:w="100"/>
              <w:bottom w:type="dxa" w:w="80"/>
              <w:right w:type="dxa" w:w="100"/>
            </w:tcMar>
          </w:tcPr>
          <w:p>
            <w:pPr>
              <w:spacing w:after="40"/>
            </w:pPr>
            <w:r>
              <w:rPr>
                <w:sz w:val="20"/>
                <w:szCs w:val="20"/>
              </w:rPr>
              <w:t xml:space="preserve">Effective Date</w:t>
            </w:r>
          </w:p>
        </w:tc>
        <w:tc>
          <w:tcPr>
            <w:tcW w:type="dxa" w:w="6200"/>
            <w:tcMar>
              <w:top w:type="dxa" w:w="80"/>
              <w:left w:type="dxa" w:w="100"/>
              <w:bottom w:type="dxa" w:w="80"/>
              <w:right w:type="dxa" w:w="100"/>
            </w:tcMar>
          </w:tcPr>
          <w:p>
            <w:pPr>
              <w:spacing w:after="40"/>
            </w:pPr>
            <w:r>
              <w:rPr>
                <w:sz w:val="20"/>
                <w:szCs w:val="20"/>
              </w:rPr>
              <w:t xml:space="preserve">30 July 2026</w:t>
            </w:r>
          </w:p>
        </w:tc>
      </w:tr>
      <w:tr>
        <w:tc>
          <w:tcPr>
            <w:tcW w:type="dxa" w:w="3200"/>
            <w:tcMar>
              <w:top w:type="dxa" w:w="80"/>
              <w:left w:type="dxa" w:w="100"/>
              <w:bottom w:type="dxa" w:w="80"/>
              <w:right w:type="dxa" w:w="100"/>
            </w:tcMar>
          </w:tcPr>
          <w:p>
            <w:pPr>
              <w:spacing w:after="40"/>
            </w:pPr>
            <w:r>
              <w:rPr>
                <w:sz w:val="20"/>
                <w:szCs w:val="20"/>
              </w:rPr>
              <w:t xml:space="preserve">Next Scheduled Review</w:t>
            </w:r>
          </w:p>
        </w:tc>
        <w:tc>
          <w:tcPr>
            <w:tcW w:type="dxa" w:w="6200"/>
            <w:tcMar>
              <w:top w:type="dxa" w:w="80"/>
              <w:left w:type="dxa" w:w="100"/>
              <w:bottom w:type="dxa" w:w="80"/>
              <w:right w:type="dxa" w:w="100"/>
            </w:tcMar>
          </w:tcPr>
          <w:p>
            <w:pPr>
              <w:spacing w:after="40"/>
            </w:pPr>
            <w:r>
              <w:rPr>
                <w:sz w:val="20"/>
                <w:szCs w:val="20"/>
              </w:rPr>
              <w:t xml:space="preserve">30 July 2027</w:t>
            </w:r>
          </w:p>
        </w:tc>
      </w:tr>
      <w:tr>
        <w:tc>
          <w:tcPr>
            <w:tcW w:type="dxa" w:w="3200"/>
            <w:tcMar>
              <w:top w:type="dxa" w:w="80"/>
              <w:left w:type="dxa" w:w="100"/>
              <w:bottom w:type="dxa" w:w="80"/>
              <w:right w:type="dxa" w:w="100"/>
            </w:tcMar>
          </w:tcPr>
          <w:p>
            <w:pPr>
              <w:spacing w:after="40"/>
            </w:pPr>
            <w:r>
              <w:rPr>
                <w:sz w:val="20"/>
                <w:szCs w:val="20"/>
              </w:rPr>
              <w:t xml:space="preserve">Applies To</w:t>
            </w:r>
          </w:p>
        </w:tc>
        <w:tc>
          <w:tcPr>
            <w:tcW w:type="dxa" w:w="6200"/>
            <w:tcMar>
              <w:top w:type="dxa" w:w="80"/>
              <w:left w:type="dxa" w:w="100"/>
              <w:bottom w:type="dxa" w:w="80"/>
              <w:right w:type="dxa" w:w="100"/>
            </w:tcMar>
          </w:tcPr>
          <w:p>
            <w:pPr>
              <w:spacing w:after="40"/>
            </w:pPr>
            <w:r>
              <w:rPr>
                <w:sz w:val="20"/>
                <w:szCs w:val="20"/>
              </w:rPr>
              <w:t xml:space="preserve">All employees, contractors, and business units of Falcon Freight Solutions engaging third-party customs brokers, delivery contractors, technology vendors, and other suppliers across all countries of operation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Table of Contents</w:t>
      </w:r>
    </w:p>
    <w:sdt>
      <w:sdtPr>
        <w:alias w:val="Table of Contents"/>
      </w:sdtPr>
      <w:sdtContent>
        <w:p>
          <w:pPr>
            <w:tabs>
              <w:tab w:val="right" w:leader="dot" w:pos="9300"/>
            </w:tabs>
            <w:spacing w:after="60"/>
          </w:pPr>
          <w:r>
            <w:rPr>
              <w:b/>
              <w:bCs/>
              <w:sz w:val="21"/>
              <w:szCs w:val="21"/>
            </w:rPr>
            <w:t xml:space="preserve">1. Introduction and Policy Statement</w:t>
          </w:r>
          <w:r>
            <w:rPr>
              <w:b/>
              <w:bCs/>
              <w:sz w:val="21"/>
              <w:szCs w:val="21"/>
            </w:rPr>
            <w:tab/>
            <w:t>3</w:t>
          </w:r>
        </w:p>
        <w:p>
          <w:pPr>
            <w:tabs>
              <w:tab w:val="right" w:leader="dot" w:pos="9300"/>
            </w:tabs>
            <w:spacing w:after="60"/>
            <w:ind w:left="360"/>
          </w:pPr>
          <w:r>
            <w:rPr>
              <w:sz w:val="20"/>
              <w:szCs w:val="20"/>
            </w:rPr>
            <w:t xml:space="preserve">1.1 Policy Statement</w:t>
          </w:r>
          <w:r>
            <w:rPr>
              <w:sz w:val="20"/>
              <w:szCs w:val="20"/>
            </w:rPr>
            <w:tab/>
            <w:t>3</w:t>
          </w:r>
        </w:p>
        <w:p>
          <w:pPr>
            <w:tabs>
              <w:tab w:val="right" w:leader="dot" w:pos="9300"/>
            </w:tabs>
            <w:spacing w:after="60"/>
          </w:pPr>
          <w:r>
            <w:rPr>
              <w:b/>
              <w:bCs/>
              <w:sz w:val="21"/>
              <w:szCs w:val="21"/>
            </w:rPr>
            <w:t xml:space="preserve">2. Purpose, Scope and Objectives</w:t>
          </w:r>
          <w:r>
            <w:rPr>
              <w:b/>
              <w:bCs/>
              <w:sz w:val="21"/>
              <w:szCs w:val="21"/>
            </w:rPr>
            <w:tab/>
            <w:t>3</w:t>
          </w:r>
        </w:p>
        <w:p>
          <w:pPr>
            <w:tabs>
              <w:tab w:val="right" w:leader="dot" w:pos="9300"/>
            </w:tabs>
            <w:spacing w:after="60"/>
            <w:ind w:left="360"/>
          </w:pPr>
          <w:r>
            <w:rPr>
              <w:sz w:val="20"/>
              <w:szCs w:val="20"/>
            </w:rPr>
            <w:t xml:space="preserve">2.1 Purpose</w:t>
          </w:r>
          <w:r>
            <w:rPr>
              <w:sz w:val="20"/>
              <w:szCs w:val="20"/>
            </w:rPr>
            <w:tab/>
            <w:t>3</w:t>
          </w:r>
        </w:p>
        <w:p>
          <w:pPr>
            <w:tabs>
              <w:tab w:val="right" w:leader="dot" w:pos="9300"/>
            </w:tabs>
            <w:spacing w:after="60"/>
            <w:ind w:left="360"/>
          </w:pPr>
          <w:r>
            <w:rPr>
              <w:sz w:val="20"/>
              <w:szCs w:val="20"/>
            </w:rPr>
            <w:t xml:space="preserve">2.2 Scope</w:t>
          </w:r>
          <w:r>
            <w:rPr>
              <w:sz w:val="20"/>
              <w:szCs w:val="20"/>
            </w:rPr>
            <w:tab/>
            <w:t>3</w:t>
          </w:r>
        </w:p>
        <w:p>
          <w:pPr>
            <w:tabs>
              <w:tab w:val="right" w:leader="dot" w:pos="9300"/>
            </w:tabs>
            <w:spacing w:after="60"/>
            <w:ind w:left="360"/>
          </w:pPr>
          <w:r>
            <w:rPr>
              <w:sz w:val="20"/>
              <w:szCs w:val="20"/>
            </w:rPr>
            <w:t xml:space="preserve">2.3 Objectives</w:t>
          </w:r>
          <w:r>
            <w:rPr>
              <w:sz w:val="20"/>
              <w:szCs w:val="20"/>
            </w:rPr>
            <w:tab/>
            <w:t>4</w:t>
          </w:r>
        </w:p>
        <w:p>
          <w:pPr>
            <w:tabs>
              <w:tab w:val="right" w:leader="dot" w:pos="9300"/>
            </w:tabs>
            <w:spacing w:after="60"/>
          </w:pPr>
          <w:r>
            <w:rPr>
              <w:b/>
              <w:bCs/>
              <w:sz w:val="21"/>
              <w:szCs w:val="21"/>
            </w:rPr>
            <w:t xml:space="preserve">3. Governance and Roles &amp; Responsibilities</w:t>
          </w:r>
          <w:r>
            <w:rPr>
              <w:b/>
              <w:bCs/>
              <w:sz w:val="21"/>
              <w:szCs w:val="21"/>
            </w:rPr>
            <w:tab/>
            <w:t>4</w:t>
          </w:r>
        </w:p>
        <w:p>
          <w:pPr>
            <w:tabs>
              <w:tab w:val="right" w:leader="dot" w:pos="9300"/>
            </w:tabs>
            <w:spacing w:after="60"/>
            <w:ind w:left="360"/>
          </w:pPr>
          <w:r>
            <w:rPr>
              <w:sz w:val="20"/>
              <w:szCs w:val="20"/>
            </w:rPr>
            <w:t xml:space="preserve">3.1 Roles and Responsibilities</w:t>
          </w:r>
          <w:r>
            <w:rPr>
              <w:sz w:val="20"/>
              <w:szCs w:val="20"/>
            </w:rPr>
            <w:tab/>
            <w:t>4</w:t>
          </w:r>
        </w:p>
        <w:p>
          <w:pPr>
            <w:tabs>
              <w:tab w:val="right" w:leader="dot" w:pos="9300"/>
            </w:tabs>
            <w:spacing w:after="60"/>
            <w:ind w:left="360"/>
          </w:pPr>
          <w:r>
            <w:rPr>
              <w:sz w:val="20"/>
              <w:szCs w:val="20"/>
            </w:rPr>
            <w:t xml:space="preserve">3.2 Information Security Steering Committee</w:t>
          </w:r>
          <w:r>
            <w:rPr>
              <w:sz w:val="20"/>
              <w:szCs w:val="20"/>
            </w:rPr>
            <w:tab/>
            <w:t>5</w:t>
          </w:r>
        </w:p>
        <w:p>
          <w:pPr>
            <w:tabs>
              <w:tab w:val="right" w:leader="dot" w:pos="9300"/>
            </w:tabs>
            <w:spacing w:after="60"/>
          </w:pPr>
          <w:r>
            <w:rPr>
              <w:b/>
              <w:bCs/>
              <w:sz w:val="21"/>
              <w:szCs w:val="21"/>
            </w:rPr>
            <w:t xml:space="preserve">4. Vendor Risk Classification</w:t>
          </w:r>
          <w:r>
            <w:rPr>
              <w:b/>
              <w:bCs/>
              <w:sz w:val="21"/>
              <w:szCs w:val="21"/>
            </w:rPr>
            <w:tab/>
            <w:t>5</w:t>
          </w:r>
        </w:p>
        <w:p>
          <w:pPr>
            <w:tabs>
              <w:tab w:val="right" w:leader="dot" w:pos="9300"/>
            </w:tabs>
            <w:spacing w:after="60"/>
          </w:pPr>
          <w:r>
            <w:rPr>
              <w:b/>
              <w:bCs/>
              <w:sz w:val="21"/>
              <w:szCs w:val="21"/>
            </w:rPr>
            <w:t xml:space="preserve">5. Due Diligence and Onboarding</w:t>
          </w:r>
          <w:r>
            <w:rPr>
              <w:b/>
              <w:bCs/>
              <w:sz w:val="21"/>
              <w:szCs w:val="21"/>
            </w:rPr>
            <w:tab/>
            <w:t>6</w:t>
          </w:r>
        </w:p>
        <w:p>
          <w:pPr>
            <w:tabs>
              <w:tab w:val="right" w:leader="dot" w:pos="9300"/>
            </w:tabs>
            <w:spacing w:after="60"/>
            <w:ind w:left="360"/>
          </w:pPr>
          <w:r>
            <w:rPr>
              <w:sz w:val="20"/>
              <w:szCs w:val="20"/>
            </w:rPr>
            <w:t xml:space="preserve">5.1 Pre-Onboarding Assessment</w:t>
          </w:r>
          <w:r>
            <w:rPr>
              <w:sz w:val="20"/>
              <w:szCs w:val="20"/>
            </w:rPr>
            <w:tab/>
            <w:t>6</w:t>
          </w:r>
        </w:p>
        <w:p>
          <w:pPr>
            <w:tabs>
              <w:tab w:val="right" w:leader="dot" w:pos="9300"/>
            </w:tabs>
            <w:spacing w:after="60"/>
            <w:ind w:left="360"/>
          </w:pPr>
          <w:r>
            <w:rPr>
              <w:sz w:val="20"/>
              <w:szCs w:val="20"/>
            </w:rPr>
            <w:t xml:space="preserve">5.2 Vendor and Third-Party Risk Register</w:t>
          </w:r>
          <w:r>
            <w:rPr>
              <w:sz w:val="20"/>
              <w:szCs w:val="20"/>
            </w:rPr>
            <w:tab/>
            <w:t>6</w:t>
          </w:r>
        </w:p>
        <w:p>
          <w:pPr>
            <w:tabs>
              <w:tab w:val="right" w:leader="dot" w:pos="9300"/>
            </w:tabs>
            <w:spacing w:after="60"/>
          </w:pPr>
          <w:r>
            <w:rPr>
              <w:b/>
              <w:bCs/>
              <w:sz w:val="21"/>
              <w:szCs w:val="21"/>
            </w:rPr>
            <w:t xml:space="preserve">6. Contractual Requirements</w:t>
          </w:r>
          <w:r>
            <w:rPr>
              <w:b/>
              <w:bCs/>
              <w:sz w:val="21"/>
              <w:szCs w:val="21"/>
            </w:rPr>
            <w:tab/>
            <w:t>6</w:t>
          </w:r>
        </w:p>
        <w:p>
          <w:pPr>
            <w:tabs>
              <w:tab w:val="right" w:leader="dot" w:pos="9300"/>
            </w:tabs>
            <w:spacing w:after="60"/>
          </w:pPr>
          <w:r>
            <w:rPr>
              <w:b/>
              <w:bCs/>
              <w:sz w:val="21"/>
              <w:szCs w:val="21"/>
            </w:rPr>
            <w:t xml:space="preserve">7. Vendor Access Control</w:t>
          </w:r>
          <w:r>
            <w:rPr>
              <w:b/>
              <w:bCs/>
              <w:sz w:val="21"/>
              <w:szCs w:val="21"/>
            </w:rPr>
            <w:tab/>
            <w:t>7</w:t>
          </w:r>
        </w:p>
        <w:p>
          <w:pPr>
            <w:tabs>
              <w:tab w:val="right" w:leader="dot" w:pos="9300"/>
            </w:tabs>
            <w:spacing w:after="60"/>
          </w:pPr>
          <w:r>
            <w:rPr>
              <w:b/>
              <w:bCs/>
              <w:sz w:val="21"/>
              <w:szCs w:val="21"/>
            </w:rPr>
            <w:t xml:space="preserve">8. Cross-Border Data Transfer by Third Parties</w:t>
          </w:r>
          <w:r>
            <w:rPr>
              <w:b/>
              <w:bCs/>
              <w:sz w:val="21"/>
              <w:szCs w:val="21"/>
            </w:rPr>
            <w:tab/>
            <w:t>7</w:t>
          </w:r>
        </w:p>
        <w:p>
          <w:pPr>
            <w:tabs>
              <w:tab w:val="right" w:leader="dot" w:pos="9300"/>
            </w:tabs>
            <w:spacing w:after="60"/>
          </w:pPr>
          <w:r>
            <w:rPr>
              <w:b/>
              <w:bCs/>
              <w:sz w:val="21"/>
              <w:szCs w:val="21"/>
            </w:rPr>
            <w:t xml:space="preserve">9. Ongoing Monitoring and Reassessment</w:t>
          </w:r>
          <w:r>
            <w:rPr>
              <w:b/>
              <w:bCs/>
              <w:sz w:val="21"/>
              <w:szCs w:val="21"/>
            </w:rPr>
            <w:tab/>
            <w:t>7</w:t>
          </w:r>
        </w:p>
        <w:p>
          <w:pPr>
            <w:tabs>
              <w:tab w:val="right" w:leader="dot" w:pos="9300"/>
            </w:tabs>
            <w:spacing w:after="60"/>
          </w:pPr>
          <w:r>
            <w:rPr>
              <w:b/>
              <w:bCs/>
              <w:sz w:val="21"/>
              <w:szCs w:val="21"/>
            </w:rPr>
            <w:t xml:space="preserve">10. Vendor Incident and Breach Management</w:t>
          </w:r>
          <w:r>
            <w:rPr>
              <w:b/>
              <w:bCs/>
              <w:sz w:val="21"/>
              <w:szCs w:val="21"/>
            </w:rPr>
            <w:tab/>
            <w:t>8</w:t>
          </w:r>
        </w:p>
        <w:p>
          <w:pPr>
            <w:tabs>
              <w:tab w:val="right" w:leader="dot" w:pos="9300"/>
            </w:tabs>
            <w:spacing w:after="60"/>
          </w:pPr>
          <w:r>
            <w:rPr>
              <w:b/>
              <w:bCs/>
              <w:sz w:val="21"/>
              <w:szCs w:val="21"/>
            </w:rPr>
            <w:t xml:space="preserve">11. Vendor Performance and Business Continuity</w:t>
          </w:r>
          <w:r>
            <w:rPr>
              <w:b/>
              <w:bCs/>
              <w:sz w:val="21"/>
              <w:szCs w:val="21"/>
            </w:rPr>
            <w:tab/>
            <w:t>8</w:t>
          </w:r>
        </w:p>
        <w:p>
          <w:pPr>
            <w:tabs>
              <w:tab w:val="right" w:leader="dot" w:pos="9300"/>
            </w:tabs>
            <w:spacing w:after="60"/>
          </w:pPr>
          <w:r>
            <w:rPr>
              <w:b/>
              <w:bCs/>
              <w:sz w:val="21"/>
              <w:szCs w:val="21"/>
            </w:rPr>
            <w:t xml:space="preserve">12. Vendor Offboarding and Termination</w:t>
          </w:r>
          <w:r>
            <w:rPr>
              <w:b/>
              <w:bCs/>
              <w:sz w:val="21"/>
              <w:szCs w:val="21"/>
            </w:rPr>
            <w:tab/>
            <w:t>8</w:t>
          </w:r>
        </w:p>
        <w:p>
          <w:pPr>
            <w:tabs>
              <w:tab w:val="right" w:leader="dot" w:pos="9300"/>
            </w:tabs>
            <w:spacing w:after="60"/>
          </w:pPr>
          <w:r>
            <w:rPr>
              <w:b/>
              <w:bCs/>
              <w:sz w:val="21"/>
              <w:szCs w:val="21"/>
            </w:rPr>
            <w:t xml:space="preserve">13. Audit and Compliance</w:t>
          </w:r>
          <w:r>
            <w:rPr>
              <w:b/>
              <w:bCs/>
              <w:sz w:val="21"/>
              <w:szCs w:val="21"/>
            </w:rPr>
            <w:tab/>
            <w:t>9</w:t>
          </w:r>
        </w:p>
        <w:p>
          <w:pPr>
            <w:tabs>
              <w:tab w:val="right" w:leader="dot" w:pos="9300"/>
            </w:tabs>
            <w:spacing w:after="60"/>
          </w:pPr>
          <w:r>
            <w:rPr>
              <w:b/>
              <w:bCs/>
              <w:sz w:val="21"/>
              <w:szCs w:val="21"/>
            </w:rPr>
            <w:t xml:space="preserve">14. Policy Enforcement, Exceptions and Sanctions</w:t>
          </w:r>
          <w:r>
            <w:rPr>
              <w:b/>
              <w:bCs/>
              <w:sz w:val="21"/>
              <w:szCs w:val="21"/>
            </w:rPr>
            <w:tab/>
            <w:t>9</w:t>
          </w:r>
        </w:p>
        <w:p>
          <w:pPr>
            <w:tabs>
              <w:tab w:val="right" w:leader="dot" w:pos="9300"/>
            </w:tabs>
            <w:spacing w:after="60"/>
          </w:pPr>
          <w:r>
            <w:rPr>
              <w:b/>
              <w:bCs/>
              <w:sz w:val="21"/>
              <w:szCs w:val="21"/>
            </w:rPr>
            <w:t xml:space="preserve">15. Policy Review and Amendment</w:t>
          </w:r>
          <w:r>
            <w:rPr>
              <w:b/>
              <w:bCs/>
              <w:sz w:val="21"/>
              <w:szCs w:val="21"/>
            </w:rPr>
            <w:tab/>
            <w:t>9</w:t>
          </w:r>
        </w:p>
        <w:p>
          <w:pPr>
            <w:tabs>
              <w:tab w:val="right" w:leader="dot" w:pos="9300"/>
            </w:tabs>
            <w:spacing w:after="60"/>
          </w:pPr>
          <w:r>
            <w:rPr>
              <w:b/>
              <w:bCs/>
              <w:sz w:val="21"/>
              <w:szCs w:val="21"/>
            </w:rPr>
            <w:t xml:space="preserve">16. Related Policies and Standards</w:t>
          </w:r>
          <w:r>
            <w:rPr>
              <w:b/>
              <w:bCs/>
              <w:sz w:val="21"/>
              <w:szCs w:val="21"/>
            </w:rPr>
            <w:tab/>
            <w:t>9</w:t>
          </w:r>
        </w:p>
        <w:p>
          <w:pPr>
            <w:tabs>
              <w:tab w:val="right" w:leader="dot" w:pos="9300"/>
            </w:tabs>
            <w:spacing w:after="60"/>
          </w:pPr>
          <w:r>
            <w:rPr>
              <w:b/>
              <w:bCs/>
              <w:sz w:val="21"/>
              <w:szCs w:val="21"/>
            </w:rPr>
            <w:t xml:space="preserve">17. Revision History</w:t>
          </w:r>
          <w:r>
            <w:rPr>
              <w:b/>
              <w:bCs/>
              <w:sz w:val="21"/>
              <w:szCs w:val="21"/>
            </w:rPr>
            <w:tab/>
            <w:t>10</w:t>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Introduction and Policy Statement</w:t>
      </w:r>
    </w:p>
    <w:p>
      <w:pPr>
        <w:spacing w:after="150" w:line="276"/>
      </w:pPr>
      <w:r>
        <w:rPr>
          <w:sz w:val="21"/>
          <w:szCs w:val="21"/>
        </w:rPr>
        <w:t xml:space="preserve">Falcon Freight Solutions ("Falcon Freight", "the Company") is a mid-sized logistics and supply chain company established in 2018, headquartered in Johannesburg, South Africa, with operations across Southern and East Africa. Falcon Freight's business model depends on a wide network of third parties — including customs brokers, subcontracted delivery contractors, technology vendors, and the provider of its cloud-based shipment tracking platform — to deliver freight forwarding, warehouse management, customs clearance, and last-mile delivery services.</w:t>
      </w:r>
    </w:p>
    <w:p>
      <w:pPr>
        <w:spacing w:after="150" w:line="276"/>
      </w:pPr>
      <w:r>
        <w:rPr>
          <w:sz w:val="21"/>
          <w:szCs w:val="21"/>
        </w:rPr>
        <w:t xml:space="preserve">As Falcon Freight has expanded into new regions, it has onboarded an increasing number of external partners without a standardized process for evaluating, contracting, and monitoring them. This has resulted in inconsistent vendor onboarding, uncontrolled third-party access to sensitive customer and shipment data, and limited visibility into vendor-related risk across the business. This Third-Party Vendor Management Policy ("the Policy") establishes the mandatory framework for managing risk arising from Falcon Freight's relationships with vendors, customs brokers, delivery contractors, and other suppliers throughout the vendor lifecycle.</w:t>
      </w:r>
    </w:p>
    <w:p>
      <w:pPr>
        <w:pStyle w:val="Heading2"/>
        <w:spacing w:after="150" w:before="300"/>
      </w:pPr>
      <w:r>
        <w:rPr>
          <w:b/>
          <w:bCs/>
          <w:color w:val="2E5395"/>
          <w:sz w:val="25"/>
          <w:szCs w:val="25"/>
        </w:rPr>
        <w:t xml:space="preserve">1.1 Policy Statement</w:t>
      </w:r>
    </w:p>
    <w:p>
      <w:pPr>
        <w:spacing w:after="150" w:line="276"/>
      </w:pPr>
      <w:r>
        <w:rPr>
          <w:sz w:val="21"/>
          <w:szCs w:val="21"/>
        </w:rPr>
        <w:t xml:space="preserve">Falcon Freight is committed to ensuring that every third party granted access to its systems, facilities, or data — whether a customs broker, a subcontracted delivery contractor, a cloud service provider, or any other supplier — is subject to proportionate due diligence, enforceable contractual obligations, and ongoing monitoring for the duration of the relationship. This Policy operationalizes third-party risk management in a manner aligned with ISO/IEC 27001:2022 and ISO 31000, informed by the NIST Cybersecurity Framework (CSF), and consistent with Falcon Freight's obligations under the South African Protection of Personal Information Act (POPIA), applicable East African data protection laws, and, where relevant, the EU General Data Protection Regulation (GDPR).</w:t>
      </w:r>
    </w:p>
    <w:p>
      <w:pPr>
        <w:pStyle w:val="Heading1"/>
        <w:pBdr>
          <w:bottom w:val="single" w:color="1F3864" w:sz="6" w:space="4"/>
        </w:pBdr>
        <w:spacing w:after="200" w:before="400"/>
      </w:pPr>
      <w:r>
        <w:rPr>
          <w:b/>
          <w:bCs/>
          <w:color w:val="1F3864"/>
          <w:sz w:val="30"/>
          <w:szCs w:val="30"/>
        </w:rPr>
        <w:t xml:space="preserve">2. Purpose, Scope and Objectives</w:t>
      </w:r>
    </w:p>
    <w:p>
      <w:pPr>
        <w:pStyle w:val="Heading2"/>
        <w:spacing w:after="150" w:before="300"/>
      </w:pPr>
      <w:r>
        <w:rPr>
          <w:b/>
          <w:bCs/>
          <w:color w:val="2E5395"/>
          <w:sz w:val="25"/>
          <w:szCs w:val="25"/>
        </w:rPr>
        <w:t xml:space="preserve">2.1 Purpose</w:t>
      </w:r>
    </w:p>
    <w:p>
      <w:pPr>
        <w:pStyle w:val="ListParagraph"/>
        <w:numPr>
          <w:ilvl w:val="0"/>
          <w:numId w:val="1"/>
        </w:numPr>
        <w:spacing w:after="90" w:line="276"/>
      </w:pPr>
      <w:r>
        <w:rPr>
          <w:sz w:val="21"/>
          <w:szCs w:val="21"/>
        </w:rPr>
        <w:t xml:space="preserve">Ensure that all third parties engaged by Falcon Freight are assessed for risk before onboarding and throughout the relationship.</w:t>
      </w:r>
    </w:p>
    <w:p>
      <w:pPr>
        <w:pStyle w:val="ListParagraph"/>
        <w:numPr>
          <w:ilvl w:val="0"/>
          <w:numId w:val="1"/>
        </w:numPr>
        <w:spacing w:after="90" w:line="276"/>
      </w:pPr>
      <w:r>
        <w:rPr>
          <w:sz w:val="21"/>
          <w:szCs w:val="21"/>
        </w:rPr>
        <w:t xml:space="preserve">Establish minimum contractual, security, and data protection requirements for all vendor, customs broker, and delivery contractor relationships.</w:t>
      </w:r>
    </w:p>
    <w:p>
      <w:pPr>
        <w:pStyle w:val="ListParagraph"/>
        <w:numPr>
          <w:ilvl w:val="0"/>
          <w:numId w:val="1"/>
        </w:numPr>
        <w:spacing w:after="90" w:line="276"/>
      </w:pPr>
      <w:r>
        <w:rPr>
          <w:sz w:val="21"/>
          <w:szCs w:val="21"/>
        </w:rPr>
        <w:t xml:space="preserve">Provide a consistent, risk-based methodology for tiering, monitoring, and reassessing third parties across all regions.</w:t>
      </w:r>
    </w:p>
    <w:p>
      <w:pPr>
        <w:pStyle w:val="ListParagraph"/>
        <w:numPr>
          <w:ilvl w:val="0"/>
          <w:numId w:val="1"/>
        </w:numPr>
        <w:spacing w:after="90" w:line="276"/>
      </w:pPr>
      <w:r>
        <w:rPr>
          <w:sz w:val="21"/>
          <w:szCs w:val="21"/>
        </w:rPr>
        <w:t xml:space="preserve">Ensure clear accountability for vendor risk decisions, from onboarding through to offboarding.</w:t>
      </w:r>
    </w:p>
    <w:p>
      <w:pPr>
        <w:pStyle w:val="ListParagraph"/>
        <w:numPr>
          <w:ilvl w:val="0"/>
          <w:numId w:val="1"/>
        </w:numPr>
        <w:spacing w:after="90" w:line="276"/>
      </w:pPr>
      <w:r>
        <w:rPr>
          <w:sz w:val="21"/>
          <w:szCs w:val="21"/>
        </w:rPr>
        <w:t xml:space="preserve">Reduce the operational, financial, legal, and reputational risk arising from third-party failures, data incidents, or non-compliance.</w:t>
      </w:r>
    </w:p>
    <w:p>
      <w:pPr>
        <w:pStyle w:val="Heading2"/>
        <w:spacing w:after="150" w:before="300"/>
      </w:pPr>
      <w:r>
        <w:rPr>
          <w:b/>
          <w:bCs/>
          <w:color w:val="2E5395"/>
          <w:sz w:val="25"/>
          <w:szCs w:val="25"/>
        </w:rPr>
        <w:t xml:space="preserve">2.2 Scope</w:t>
      </w:r>
    </w:p>
    <w:p>
      <w:pPr>
        <w:spacing w:after="150" w:line="276"/>
      </w:pPr>
      <w:r>
        <w:rPr>
          <w:sz w:val="21"/>
          <w:szCs w:val="21"/>
        </w:rPr>
        <w:t xml:space="preserve">This Policy applies to:</w:t>
      </w:r>
    </w:p>
    <w:p>
      <w:pPr>
        <w:pStyle w:val="ListParagraph"/>
        <w:numPr>
          <w:ilvl w:val="0"/>
          <w:numId w:val="1"/>
        </w:numPr>
        <w:spacing w:after="90" w:line="276"/>
      </w:pPr>
      <w:r>
        <w:rPr>
          <w:sz w:val="21"/>
          <w:szCs w:val="21"/>
        </w:rPr>
        <w:t xml:space="preserve">All Falcon Freight business units and employees who identify, select, onboard, contract with, or manage third parties, at head office (Johannesburg, South Africa) and in all regional offices across Southern and East Africa.</w:t>
      </w:r>
    </w:p>
    <w:p>
      <w:pPr>
        <w:pStyle w:val="ListParagraph"/>
        <w:numPr>
          <w:ilvl w:val="0"/>
          <w:numId w:val="1"/>
        </w:numPr>
        <w:spacing w:after="90" w:line="276"/>
      </w:pPr>
      <w:r>
        <w:rPr>
          <w:sz w:val="21"/>
          <w:szCs w:val="21"/>
        </w:rPr>
        <w:t xml:space="preserve">All third-party customs brokers and subcontracted delivery contractors engaged to perform services on Falcon Freight's behalf.</w:t>
      </w:r>
    </w:p>
    <w:p>
      <w:pPr>
        <w:pStyle w:val="ListParagraph"/>
        <w:numPr>
          <w:ilvl w:val="0"/>
          <w:numId w:val="1"/>
        </w:numPr>
        <w:spacing w:after="90" w:line="276"/>
      </w:pPr>
      <w:r>
        <w:rPr>
          <w:sz w:val="21"/>
          <w:szCs w:val="21"/>
        </w:rPr>
        <w:t xml:space="preserve">All technology vendors and cloud service providers with access to Falcon Freight systems or data, including the provider of the cloud-based shipment tracking platform.</w:t>
      </w:r>
    </w:p>
    <w:p>
      <w:pPr>
        <w:pStyle w:val="ListParagraph"/>
        <w:numPr>
          <w:ilvl w:val="0"/>
          <w:numId w:val="1"/>
        </w:numPr>
        <w:spacing w:after="90" w:line="276"/>
      </w:pPr>
      <w:r>
        <w:rPr>
          <w:sz w:val="21"/>
          <w:szCs w:val="21"/>
        </w:rPr>
        <w:t xml:space="preserve">All other suppliers with access to Falcon Freight facilities, information assets, or personal data, including professional services firms and logistics partners.</w:t>
      </w:r>
    </w:p>
    <w:p>
      <w:pPr>
        <w:pStyle w:val="ListParagraph"/>
        <w:numPr>
          <w:ilvl w:val="0"/>
          <w:numId w:val="1"/>
        </w:numPr>
        <w:spacing w:after="90" w:line="276"/>
      </w:pPr>
      <w:r>
        <w:rPr>
          <w:sz w:val="21"/>
          <w:szCs w:val="21"/>
        </w:rPr>
        <w:t xml:space="preserve">Any engagement involving access to Restricted, Confidential, or Internal information as defined in Falcon Freight's Information Security Policy.</w:t>
      </w:r>
    </w:p>
    <w:p>
      <w:pPr>
        <w:pStyle w:val="Heading2"/>
        <w:spacing w:after="150" w:before="300"/>
      </w:pPr>
      <w:r>
        <w:rPr>
          <w:b/>
          <w:bCs/>
          <w:color w:val="2E5395"/>
          <w:sz w:val="25"/>
          <w:szCs w:val="25"/>
        </w:rPr>
        <w:t xml:space="preserve">2.3 Objectives</w:t>
      </w:r>
    </w:p>
    <w:p>
      <w:pPr>
        <w:pStyle w:val="ListParagraph"/>
        <w:numPr>
          <w:ilvl w:val="0"/>
          <w:numId w:val="2"/>
        </w:numPr>
        <w:spacing w:after="90" w:line="276"/>
      </w:pPr>
      <w:r>
        <w:rPr>
          <w:sz w:val="21"/>
          <w:szCs w:val="21"/>
        </w:rPr>
        <w:t xml:space="preserve">Maintain a single, authoritative Vendor and Third-Party Risk Register covering every active third party.</w:t>
      </w:r>
    </w:p>
    <w:p>
      <w:pPr>
        <w:pStyle w:val="ListParagraph"/>
        <w:numPr>
          <w:ilvl w:val="0"/>
          <w:numId w:val="2"/>
        </w:numPr>
        <w:spacing w:after="90" w:line="276"/>
      </w:pPr>
      <w:r>
        <w:rPr>
          <w:sz w:val="21"/>
          <w:szCs w:val="21"/>
        </w:rPr>
        <w:t xml:space="preserve">Apply consistent due diligence and risk tiering criteria across all regions and third-party categories.</w:t>
      </w:r>
    </w:p>
    <w:p>
      <w:pPr>
        <w:pStyle w:val="ListParagraph"/>
        <w:numPr>
          <w:ilvl w:val="0"/>
          <w:numId w:val="2"/>
        </w:numPr>
        <w:spacing w:after="90" w:line="276"/>
      </w:pPr>
      <w:r>
        <w:rPr>
          <w:sz w:val="21"/>
          <w:szCs w:val="21"/>
        </w:rPr>
        <w:t xml:space="preserve">Ensure all in-scope contracts include enforceable security, data protection, and audit provisions.</w:t>
      </w:r>
    </w:p>
    <w:p>
      <w:pPr>
        <w:pStyle w:val="ListParagraph"/>
        <w:numPr>
          <w:ilvl w:val="0"/>
          <w:numId w:val="2"/>
        </w:numPr>
        <w:spacing w:after="90" w:line="276"/>
      </w:pPr>
      <w:r>
        <w:rPr>
          <w:sz w:val="21"/>
          <w:szCs w:val="21"/>
        </w:rPr>
        <w:t xml:space="preserve">Achieve full visibility of vendor-related compliance obligations under POPIA, applicable East African data protection laws, and GDPR.</w:t>
      </w:r>
    </w:p>
    <w:p>
      <w:pPr>
        <w:pStyle w:val="ListParagraph"/>
        <w:numPr>
          <w:ilvl w:val="0"/>
          <w:numId w:val="2"/>
        </w:numPr>
        <w:spacing w:after="90" w:line="276"/>
      </w:pPr>
      <w:r>
        <w:rPr>
          <w:sz w:val="21"/>
          <w:szCs w:val="21"/>
        </w:rPr>
        <w:t xml:space="preserve">Detect and remediate vendor non-compliance or degraded performance before it results in a security or service incident.</w:t>
      </w:r>
    </w:p>
    <w:p>
      <w:pPr>
        <w:pStyle w:val="ListParagraph"/>
        <w:numPr>
          <w:ilvl w:val="0"/>
          <w:numId w:val="2"/>
        </w:numPr>
        <w:spacing w:after="90" w:line="276"/>
      </w:pPr>
      <w:r>
        <w:rPr>
          <w:sz w:val="21"/>
          <w:szCs w:val="21"/>
        </w:rPr>
        <w:t xml:space="preserve">Ensure clean, secure offboarding of third parties at contract termination.</w:t>
      </w:r>
    </w:p>
    <w:p>
      <w:pPr>
        <w:pStyle w:val="Heading1"/>
        <w:pBdr>
          <w:bottom w:val="single" w:color="1F3864" w:sz="6" w:space="4"/>
        </w:pBdr>
        <w:spacing w:after="200" w:before="400"/>
      </w:pPr>
      <w:r>
        <w:rPr>
          <w:b/>
          <w:bCs/>
          <w:color w:val="1F3864"/>
          <w:sz w:val="30"/>
          <w:szCs w:val="30"/>
        </w:rPr>
        <w:t xml:space="preserve">3. Governance and Roles &amp; Responsibilities</w:t>
      </w:r>
    </w:p>
    <w:p>
      <w:pPr>
        <w:spacing w:after="150" w:line="276"/>
      </w:pPr>
      <w:r>
        <w:rPr>
          <w:sz w:val="21"/>
          <w:szCs w:val="21"/>
        </w:rPr>
        <w:t xml:space="preserve">Falcon Freight operates a three-tiered governance structure to ensure accountability for third-party risk is clear at the Board, management, and operational levels.</w:t>
      </w:r>
    </w:p>
    <w:p>
      <w:pPr>
        <w:pStyle w:val="Heading2"/>
        <w:spacing w:after="150" w:before="300"/>
      </w:pPr>
      <w:r>
        <w:rPr>
          <w:b/>
          <w:bCs/>
          <w:color w:val="2E5395"/>
          <w:sz w:val="25"/>
          <w:szCs w:val="25"/>
        </w:rPr>
        <w:t xml:space="preserve">3.1 Roles and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Role</w:t>
            </w:r>
          </w:p>
        </w:tc>
        <w:tc>
          <w:tcPr>
            <w:tcW w:type="dxa" w:w="6800"/>
            <w:shd w:fill="1F3864" w:val="clear"/>
            <w:tcMar>
              <w:top w:type="dxa" w:w="80"/>
              <w:left w:type="dxa" w:w="100"/>
              <w:bottom w:type="dxa" w:w="80"/>
              <w:right w:type="dxa" w:w="100"/>
            </w:tcMar>
            <w:vAlign w:val="center"/>
          </w:tcPr>
          <w:p>
            <w:pPr>
              <w:spacing w:after="40"/>
            </w:pPr>
            <w:r>
              <w:rPr>
                <w:b/>
                <w:bCs/>
                <w:color w:val="FFFFFF"/>
                <w:sz w:val="20"/>
                <w:szCs w:val="20"/>
              </w:rPr>
              <w:t xml:space="preserve">Key Responsibilities</w:t>
            </w:r>
          </w:p>
        </w:tc>
      </w:tr>
      <w:tr>
        <w:tc>
          <w:tcPr>
            <w:tcW w:type="dxa" w:w="2600"/>
            <w:tcMar>
              <w:top w:type="dxa" w:w="80"/>
              <w:left w:type="dxa" w:w="100"/>
              <w:bottom w:type="dxa" w:w="80"/>
              <w:right w:type="dxa" w:w="100"/>
            </w:tcMar>
          </w:tcPr>
          <w:p>
            <w:pPr>
              <w:spacing w:after="40"/>
            </w:pPr>
            <w:r>
              <w:rPr>
                <w:sz w:val="20"/>
                <w:szCs w:val="20"/>
              </w:rPr>
              <w:t xml:space="preserve">Board Risk &amp; Audit Committee</w:t>
            </w:r>
          </w:p>
        </w:tc>
        <w:tc>
          <w:tcPr>
            <w:tcW w:type="dxa" w:w="6800"/>
            <w:tcMar>
              <w:top w:type="dxa" w:w="80"/>
              <w:left w:type="dxa" w:w="100"/>
              <w:bottom w:type="dxa" w:w="80"/>
              <w:right w:type="dxa" w:w="100"/>
            </w:tcMar>
          </w:tcPr>
          <w:p>
            <w:pPr>
              <w:spacing w:after="40"/>
            </w:pPr>
            <w:r>
              <w:rPr>
                <w:sz w:val="20"/>
                <w:szCs w:val="20"/>
              </w:rPr>
              <w:t xml:space="preserve">Approves this Policy and the Company's third-party risk appetite; receives quarterly reporting on vendor risk posture, incidents, and audit outcomes.</w:t>
            </w:r>
          </w:p>
        </w:tc>
      </w:tr>
      <w:tr>
        <w:tc>
          <w:tcPr>
            <w:tcW w:type="dxa" w:w="2600"/>
            <w:tcMar>
              <w:top w:type="dxa" w:w="80"/>
              <w:left w:type="dxa" w:w="100"/>
              <w:bottom w:type="dxa" w:w="80"/>
              <w:right w:type="dxa" w:w="100"/>
            </w:tcMar>
          </w:tcPr>
          <w:p>
            <w:pPr>
              <w:spacing w:after="40"/>
            </w:pPr>
            <w:r>
              <w:rPr>
                <w:sz w:val="20"/>
                <w:szCs w:val="20"/>
              </w:rPr>
              <w:t xml:space="preserve">Chief Information Security Officer (CISO)</w:t>
            </w:r>
          </w:p>
        </w:tc>
        <w:tc>
          <w:tcPr>
            <w:tcW w:type="dxa" w:w="6800"/>
            <w:tcMar>
              <w:top w:type="dxa" w:w="80"/>
              <w:left w:type="dxa" w:w="100"/>
              <w:bottom w:type="dxa" w:w="80"/>
              <w:right w:type="dxa" w:w="100"/>
            </w:tcMar>
          </w:tcPr>
          <w:p>
            <w:pPr>
              <w:spacing w:after="40"/>
            </w:pPr>
            <w:r>
              <w:rPr>
                <w:sz w:val="20"/>
                <w:szCs w:val="20"/>
              </w:rPr>
              <w:t xml:space="preserve">Owns this Policy jointly with Procurement; sets security and data protection requirements for third parties; approves risk exceptions for Critical and High-tier vendors.</w:t>
            </w:r>
          </w:p>
        </w:tc>
      </w:tr>
      <w:tr>
        <w:tc>
          <w:tcPr>
            <w:tcW w:type="dxa" w:w="2600"/>
            <w:tcMar>
              <w:top w:type="dxa" w:w="80"/>
              <w:left w:type="dxa" w:w="100"/>
              <w:bottom w:type="dxa" w:w="80"/>
              <w:right w:type="dxa" w:w="100"/>
            </w:tcMar>
          </w:tcPr>
          <w:p>
            <w:pPr>
              <w:spacing w:after="40"/>
            </w:pPr>
            <w:r>
              <w:rPr>
                <w:sz w:val="20"/>
                <w:szCs w:val="20"/>
              </w:rPr>
              <w:t xml:space="preserve">Head of Procurement / Vendor Management</w:t>
            </w:r>
          </w:p>
        </w:tc>
        <w:tc>
          <w:tcPr>
            <w:tcW w:type="dxa" w:w="6800"/>
            <w:tcMar>
              <w:top w:type="dxa" w:w="80"/>
              <w:left w:type="dxa" w:w="100"/>
              <w:bottom w:type="dxa" w:w="80"/>
              <w:right w:type="dxa" w:w="100"/>
            </w:tcMar>
          </w:tcPr>
          <w:p>
            <w:pPr>
              <w:spacing w:after="40"/>
            </w:pPr>
            <w:r>
              <w:rPr>
                <w:sz w:val="20"/>
                <w:szCs w:val="20"/>
              </w:rPr>
              <w:t xml:space="preserve">Owns the end-to-end vendor lifecycle process; maintains the Vendor and Third-Party Risk Register; coordinates due diligence and contract negotiation.</w:t>
            </w:r>
          </w:p>
        </w:tc>
      </w:tr>
      <w:tr>
        <w:tc>
          <w:tcPr>
            <w:tcW w:type="dxa" w:w="2600"/>
            <w:tcMar>
              <w:top w:type="dxa" w:w="80"/>
              <w:left w:type="dxa" w:w="100"/>
              <w:bottom w:type="dxa" w:w="80"/>
              <w:right w:type="dxa" w:w="100"/>
            </w:tcMar>
          </w:tcPr>
          <w:p>
            <w:pPr>
              <w:spacing w:after="40"/>
            </w:pPr>
            <w:r>
              <w:rPr>
                <w:sz w:val="20"/>
                <w:szCs w:val="20"/>
              </w:rPr>
              <w:t xml:space="preserve">Information Officer (Data Protection)</w:t>
            </w:r>
          </w:p>
        </w:tc>
        <w:tc>
          <w:tcPr>
            <w:tcW w:type="dxa" w:w="6800"/>
            <w:tcMar>
              <w:top w:type="dxa" w:w="80"/>
              <w:left w:type="dxa" w:w="100"/>
              <w:bottom w:type="dxa" w:w="80"/>
              <w:right w:type="dxa" w:w="100"/>
            </w:tcMar>
          </w:tcPr>
          <w:p>
            <w:pPr>
              <w:spacing w:after="40"/>
            </w:pPr>
            <w:r>
              <w:rPr>
                <w:sz w:val="20"/>
                <w:szCs w:val="20"/>
              </w:rPr>
              <w:t xml:space="preserve">Reviews vendor and broker relationships involving personal data; approves Data Processing Agreements; oversees cross-border transfer assessments for third-party flows.</w:t>
            </w:r>
          </w:p>
        </w:tc>
      </w:tr>
      <w:tr>
        <w:tc>
          <w:tcPr>
            <w:tcW w:type="dxa" w:w="2600"/>
            <w:tcMar>
              <w:top w:type="dxa" w:w="80"/>
              <w:left w:type="dxa" w:w="100"/>
              <w:bottom w:type="dxa" w:w="80"/>
              <w:right w:type="dxa" w:w="100"/>
            </w:tcMar>
          </w:tcPr>
          <w:p>
            <w:pPr>
              <w:spacing w:after="40"/>
            </w:pPr>
            <w:r>
              <w:rPr>
                <w:sz w:val="20"/>
                <w:szCs w:val="20"/>
              </w:rPr>
              <w:t xml:space="preserve">Regional IT/Security Leads</w:t>
            </w:r>
          </w:p>
        </w:tc>
        <w:tc>
          <w:tcPr>
            <w:tcW w:type="dxa" w:w="6800"/>
            <w:tcMar>
              <w:top w:type="dxa" w:w="80"/>
              <w:left w:type="dxa" w:w="100"/>
              <w:bottom w:type="dxa" w:w="80"/>
              <w:right w:type="dxa" w:w="100"/>
            </w:tcMar>
          </w:tcPr>
          <w:p>
            <w:pPr>
              <w:spacing w:after="40"/>
            </w:pPr>
            <w:r>
              <w:rPr>
                <w:sz w:val="20"/>
                <w:szCs w:val="20"/>
              </w:rPr>
              <w:t xml:space="preserve">Conduct or coordinate local due diligence and spot-checks on customs brokers and delivery contractors; escalate regional vendor risks to the CISO and Procurement.</w:t>
            </w:r>
          </w:p>
        </w:tc>
      </w:tr>
      <w:tr>
        <w:tc>
          <w:tcPr>
            <w:tcW w:type="dxa" w:w="2600"/>
            <w:tcMar>
              <w:top w:type="dxa" w:w="80"/>
              <w:left w:type="dxa" w:w="100"/>
              <w:bottom w:type="dxa" w:w="80"/>
              <w:right w:type="dxa" w:w="100"/>
            </w:tcMar>
          </w:tcPr>
          <w:p>
            <w:pPr>
              <w:spacing w:after="40"/>
            </w:pPr>
            <w:r>
              <w:rPr>
                <w:sz w:val="20"/>
                <w:szCs w:val="20"/>
              </w:rPr>
              <w:t xml:space="preserve">Business/Contract Owners</w:t>
            </w:r>
          </w:p>
        </w:tc>
        <w:tc>
          <w:tcPr>
            <w:tcW w:type="dxa" w:w="6800"/>
            <w:tcMar>
              <w:top w:type="dxa" w:w="80"/>
              <w:left w:type="dxa" w:w="100"/>
              <w:bottom w:type="dxa" w:w="80"/>
              <w:right w:type="dxa" w:w="100"/>
            </w:tcMar>
          </w:tcPr>
          <w:p>
            <w:pPr>
              <w:spacing w:after="40"/>
            </w:pPr>
            <w:r>
              <w:rPr>
                <w:sz w:val="20"/>
                <w:szCs w:val="20"/>
              </w:rPr>
              <w:t xml:space="preserve">Act as the day-to-day relationship owner for an assigned vendor or broker; monitor performance and compliance; raise reassessment or termination requests.</w:t>
            </w:r>
          </w:p>
        </w:tc>
      </w:tr>
      <w:tr>
        <w:tc>
          <w:tcPr>
            <w:tcW w:type="dxa" w:w="2600"/>
            <w:tcMar>
              <w:top w:type="dxa" w:w="80"/>
              <w:left w:type="dxa" w:w="100"/>
              <w:bottom w:type="dxa" w:w="80"/>
              <w:right w:type="dxa" w:w="100"/>
            </w:tcMar>
          </w:tcPr>
          <w:p>
            <w:pPr>
              <w:spacing w:after="40"/>
            </w:pPr>
            <w:r>
              <w:rPr>
                <w:sz w:val="20"/>
                <w:szCs w:val="20"/>
              </w:rPr>
              <w:t xml:space="preserve">Internal Audit</w:t>
            </w:r>
          </w:p>
        </w:tc>
        <w:tc>
          <w:tcPr>
            <w:tcW w:type="dxa" w:w="6800"/>
            <w:tcMar>
              <w:top w:type="dxa" w:w="80"/>
              <w:left w:type="dxa" w:w="100"/>
              <w:bottom w:type="dxa" w:w="80"/>
              <w:right w:type="dxa" w:w="100"/>
            </w:tcMar>
          </w:tcPr>
          <w:p>
            <w:pPr>
              <w:spacing w:after="40"/>
            </w:pPr>
            <w:r>
              <w:rPr>
                <w:sz w:val="20"/>
                <w:szCs w:val="20"/>
              </w:rPr>
              <w:t xml:space="preserve">Independently tests the effectiveness of third-party risk controls and reports findings to the ISSC and Board Risk &amp; Audit Committee.</w:t>
            </w:r>
          </w:p>
        </w:tc>
      </w:tr>
    </w:tbl>
    <w:p>
      <w:pPr>
        <w:pStyle w:val="Heading2"/>
        <w:spacing w:after="150" w:before="300"/>
      </w:pPr>
      <w:r>
        <w:rPr>
          <w:b/>
          <w:bCs/>
          <w:color w:val="2E5395"/>
          <w:sz w:val="25"/>
          <w:szCs w:val="25"/>
        </w:rPr>
        <w:t xml:space="preserve">3.2 Information Security Steering Committee</w:t>
      </w:r>
    </w:p>
    <w:p>
      <w:pPr>
        <w:spacing w:after="150" w:line="276"/>
      </w:pPr>
      <w:r>
        <w:rPr>
          <w:sz w:val="21"/>
          <w:szCs w:val="21"/>
        </w:rPr>
        <w:t xml:space="preserve">The Information Security Steering Committee (ISSC), chaired by the CISO and including Procurement, the Information Officer, Regional IT/Security Leads, and senior representatives from Operations and Legal, reviews the Vendor and Third-Party Risk Register, escalated vendor incidents, and overdue reassessments at each quarterly meeting.</w:t>
      </w:r>
    </w:p>
    <w:p>
      <w:pPr>
        <w:pStyle w:val="Heading1"/>
        <w:pBdr>
          <w:bottom w:val="single" w:color="1F3864" w:sz="6" w:space="4"/>
        </w:pBdr>
        <w:spacing w:after="200" w:before="400"/>
      </w:pPr>
      <w:r>
        <w:rPr>
          <w:b/>
          <w:bCs/>
          <w:color w:val="1F3864"/>
          <w:sz w:val="30"/>
          <w:szCs w:val="30"/>
        </w:rPr>
        <w:t xml:space="preserve">4. Vendor Risk Classification</w:t>
      </w:r>
    </w:p>
    <w:p>
      <w:pPr>
        <w:spacing w:after="150" w:line="276"/>
      </w:pPr>
      <w:r>
        <w:rPr>
          <w:sz w:val="21"/>
          <w:szCs w:val="21"/>
        </w:rPr>
        <w:t xml:space="preserve">Every third party in scope of this Policy must be assigned a risk tier at onboarding, and reassessed whenever the nature of the engagement changes. Risk tier determines the depth of due diligence, contractual requirements, and frequency of reassessment applied.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200"/>
        <w:gridCol w:w="2100"/>
      </w:tblGrid>
      <w:tr>
        <w:trPr>
          <w:tblHeader/>
        </w:trPr>
        <w:tc>
          <w:tcPr>
            <w:tcW w:type="dxa" w:w="1500"/>
            <w:shd w:fill="1F3864" w:val="clear"/>
            <w:tcMar>
              <w:top w:type="dxa" w:w="80"/>
              <w:left w:type="dxa" w:w="100"/>
              <w:bottom w:type="dxa" w:w="80"/>
              <w:right w:type="dxa" w:w="100"/>
            </w:tcMar>
            <w:vAlign w:val="center"/>
          </w:tcPr>
          <w:p>
            <w:pPr>
              <w:spacing w:after="40"/>
            </w:pPr>
            <w:r>
              <w:rPr>
                <w:b/>
                <w:bCs/>
                <w:color w:val="FFFFFF"/>
                <w:sz w:val="20"/>
                <w:szCs w:val="20"/>
              </w:rPr>
              <w:t xml:space="preserve">Tier</w:t>
            </w:r>
          </w:p>
        </w:tc>
        <w:tc>
          <w:tcPr>
            <w:tcW w:type="dxa" w:w="3400"/>
            <w:shd w:fill="1F3864" w:val="clear"/>
            <w:tcMar>
              <w:top w:type="dxa" w:w="80"/>
              <w:left w:type="dxa" w:w="100"/>
              <w:bottom w:type="dxa" w:w="80"/>
              <w:right w:type="dxa" w:w="100"/>
            </w:tcMar>
            <w:vAlign w:val="center"/>
          </w:tcPr>
          <w:p>
            <w:pPr>
              <w:spacing w:after="40"/>
            </w:pPr>
            <w:r>
              <w:rPr>
                <w:b/>
                <w:bCs/>
                <w:color w:val="FFFFFF"/>
                <w:sz w:val="20"/>
                <w:szCs w:val="20"/>
              </w:rPr>
              <w:t xml:space="preserve">Criteria</w:t>
            </w:r>
          </w:p>
        </w:tc>
        <w:tc>
          <w:tcPr>
            <w:tcW w:type="dxa" w:w="2200"/>
            <w:shd w:fill="1F3864" w:val="clear"/>
            <w:tcMar>
              <w:top w:type="dxa" w:w="80"/>
              <w:left w:type="dxa" w:w="100"/>
              <w:bottom w:type="dxa" w:w="80"/>
              <w:right w:type="dxa" w:w="100"/>
            </w:tcMar>
            <w:vAlign w:val="center"/>
          </w:tcPr>
          <w:p>
            <w:pPr>
              <w:spacing w:after="40"/>
            </w:pPr>
            <w:r>
              <w:rPr>
                <w:b/>
                <w:bCs/>
                <w:color w:val="FFFFFF"/>
                <w:sz w:val="20"/>
                <w:szCs w:val="20"/>
              </w:rPr>
              <w:t xml:space="preserve">Examples</w:t>
            </w:r>
          </w:p>
        </w:tc>
        <w:tc>
          <w:tcPr>
            <w:tcW w:type="dxa" w:w="2100"/>
            <w:shd w:fill="1F3864" w:val="clear"/>
            <w:tcMar>
              <w:top w:type="dxa" w:w="80"/>
              <w:left w:type="dxa" w:w="100"/>
              <w:bottom w:type="dxa" w:w="80"/>
              <w:right w:type="dxa" w:w="100"/>
            </w:tcMar>
            <w:vAlign w:val="center"/>
          </w:tcPr>
          <w:p>
            <w:pPr>
              <w:spacing w:after="40"/>
            </w:pPr>
            <w:r>
              <w:rPr>
                <w:b/>
                <w:bCs/>
                <w:color w:val="FFFFFF"/>
                <w:sz w:val="20"/>
                <w:szCs w:val="20"/>
              </w:rPr>
              <w:t xml:space="preserve">Reassessment Frequency</w:t>
            </w:r>
          </w:p>
        </w:tc>
      </w:tr>
      <w:tr>
        <w:tc>
          <w:tcPr>
            <w:tcW w:type="dxa" w:w="1500"/>
            <w:tcMar>
              <w:top w:type="dxa" w:w="80"/>
              <w:left w:type="dxa" w:w="100"/>
              <w:bottom w:type="dxa" w:w="80"/>
              <w:right w:type="dxa" w:w="100"/>
            </w:tcMar>
          </w:tcPr>
          <w:p>
            <w:pPr>
              <w:spacing w:after="40"/>
            </w:pPr>
            <w:r>
              <w:rPr>
                <w:sz w:val="20"/>
                <w:szCs w:val="20"/>
              </w:rPr>
              <w:t xml:space="preserve">Critical</w:t>
            </w:r>
          </w:p>
        </w:tc>
        <w:tc>
          <w:tcPr>
            <w:tcW w:type="dxa" w:w="3400"/>
            <w:tcMar>
              <w:top w:type="dxa" w:w="80"/>
              <w:left w:type="dxa" w:w="100"/>
              <w:bottom w:type="dxa" w:w="80"/>
              <w:right w:type="dxa" w:w="100"/>
            </w:tcMar>
          </w:tcPr>
          <w:p>
            <w:pPr>
              <w:spacing w:after="40"/>
            </w:pPr>
            <w:r>
              <w:rPr>
                <w:sz w:val="20"/>
                <w:szCs w:val="20"/>
              </w:rPr>
              <w:t xml:space="preserve">Access to Restricted data at scale, or the third party's failure would materially disrupt operations</w:t>
            </w:r>
          </w:p>
        </w:tc>
        <w:tc>
          <w:tcPr>
            <w:tcW w:type="dxa" w:w="2200"/>
            <w:tcMar>
              <w:top w:type="dxa" w:w="80"/>
              <w:left w:type="dxa" w:w="100"/>
              <w:bottom w:type="dxa" w:w="80"/>
              <w:right w:type="dxa" w:w="100"/>
            </w:tcMar>
          </w:tcPr>
          <w:p>
            <w:pPr>
              <w:spacing w:after="40"/>
            </w:pPr>
            <w:r>
              <w:rPr>
                <w:sz w:val="20"/>
                <w:szCs w:val="20"/>
              </w:rPr>
              <w:t xml:space="preserve">Cloud shipment tracking provider; core customs brokers in high-volume corridors</w:t>
            </w:r>
          </w:p>
        </w:tc>
        <w:tc>
          <w:tcPr>
            <w:tcW w:type="dxa" w:w="2100"/>
            <w:tcMar>
              <w:top w:type="dxa" w:w="80"/>
              <w:left w:type="dxa" w:w="100"/>
              <w:bottom w:type="dxa" w:w="80"/>
              <w:right w:type="dxa" w:w="100"/>
            </w:tcMar>
          </w:tcPr>
          <w:p>
            <w:pPr>
              <w:spacing w:after="40"/>
            </w:pPr>
            <w:r>
              <w:rPr>
                <w:sz w:val="20"/>
                <w:szCs w:val="20"/>
              </w:rPr>
              <w:t xml:space="preserve">Annually, plus continuous monitoring</w:t>
            </w:r>
          </w:p>
        </w:tc>
      </w:tr>
      <w:tr>
        <w:tc>
          <w:tcPr>
            <w:tcW w:type="dxa" w:w="1500"/>
            <w:tcMar>
              <w:top w:type="dxa" w:w="80"/>
              <w:left w:type="dxa" w:w="100"/>
              <w:bottom w:type="dxa" w:w="80"/>
              <w:right w:type="dxa" w:w="100"/>
            </w:tcMar>
          </w:tcPr>
          <w:p>
            <w:pPr>
              <w:spacing w:after="40"/>
            </w:pPr>
            <w:r>
              <w:rPr>
                <w:sz w:val="20"/>
                <w:szCs w:val="20"/>
              </w:rPr>
              <w:t xml:space="preserve">High</w:t>
            </w:r>
          </w:p>
        </w:tc>
        <w:tc>
          <w:tcPr>
            <w:tcW w:type="dxa" w:w="3400"/>
            <w:tcMar>
              <w:top w:type="dxa" w:w="80"/>
              <w:left w:type="dxa" w:w="100"/>
              <w:bottom w:type="dxa" w:w="80"/>
              <w:right w:type="dxa" w:w="100"/>
            </w:tcMar>
          </w:tcPr>
          <w:p>
            <w:pPr>
              <w:spacing w:after="40"/>
            </w:pPr>
            <w:r>
              <w:rPr>
                <w:sz w:val="20"/>
                <w:szCs w:val="20"/>
              </w:rPr>
              <w:t xml:space="preserve">Access to Restricted or Confidential data, or a significant operational dependency</w:t>
            </w:r>
          </w:p>
        </w:tc>
        <w:tc>
          <w:tcPr>
            <w:tcW w:type="dxa" w:w="2200"/>
            <w:tcMar>
              <w:top w:type="dxa" w:w="80"/>
              <w:left w:type="dxa" w:w="100"/>
              <w:bottom w:type="dxa" w:w="80"/>
              <w:right w:type="dxa" w:w="100"/>
            </w:tcMar>
          </w:tcPr>
          <w:p>
            <w:pPr>
              <w:spacing w:after="40"/>
            </w:pPr>
            <w:r>
              <w:rPr>
                <w:sz w:val="20"/>
                <w:szCs w:val="20"/>
              </w:rPr>
              <w:t xml:space="preserve">Subcontracted delivery contractors with system access; regional customs brokers</w:t>
            </w:r>
          </w:p>
        </w:tc>
        <w:tc>
          <w:tcPr>
            <w:tcW w:type="dxa" w:w="2100"/>
            <w:tcMar>
              <w:top w:type="dxa" w:w="80"/>
              <w:left w:type="dxa" w:w="100"/>
              <w:bottom w:type="dxa" w:w="80"/>
              <w:right w:type="dxa" w:w="100"/>
            </w:tcMar>
          </w:tcPr>
          <w:p>
            <w:pPr>
              <w:spacing w:after="40"/>
            </w:pPr>
            <w:r>
              <w:rPr>
                <w:sz w:val="20"/>
                <w:szCs w:val="20"/>
              </w:rPr>
              <w:t xml:space="preserve">Annually</w:t>
            </w:r>
          </w:p>
        </w:tc>
      </w:tr>
      <w:tr>
        <w:tc>
          <w:tcPr>
            <w:tcW w:type="dxa" w:w="1500"/>
            <w:tcMar>
              <w:top w:type="dxa" w:w="80"/>
              <w:left w:type="dxa" w:w="100"/>
              <w:bottom w:type="dxa" w:w="80"/>
              <w:right w:type="dxa" w:w="100"/>
            </w:tcMar>
          </w:tcPr>
          <w:p>
            <w:pPr>
              <w:spacing w:after="40"/>
            </w:pPr>
            <w:r>
              <w:rPr>
                <w:sz w:val="20"/>
                <w:szCs w:val="20"/>
              </w:rPr>
              <w:t xml:space="preserve">Medium</w:t>
            </w:r>
          </w:p>
        </w:tc>
        <w:tc>
          <w:tcPr>
            <w:tcW w:type="dxa" w:w="3400"/>
            <w:tcMar>
              <w:top w:type="dxa" w:w="80"/>
              <w:left w:type="dxa" w:w="100"/>
              <w:bottom w:type="dxa" w:w="80"/>
              <w:right w:type="dxa" w:w="100"/>
            </w:tcMar>
          </w:tcPr>
          <w:p>
            <w:pPr>
              <w:spacing w:after="40"/>
            </w:pPr>
            <w:r>
              <w:rPr>
                <w:sz w:val="20"/>
                <w:szCs w:val="20"/>
              </w:rPr>
              <w:t xml:space="preserve">Access to Confidential or Internal data, limited operational dependency</w:t>
            </w:r>
          </w:p>
        </w:tc>
        <w:tc>
          <w:tcPr>
            <w:tcW w:type="dxa" w:w="2200"/>
            <w:tcMar>
              <w:top w:type="dxa" w:w="80"/>
              <w:left w:type="dxa" w:w="100"/>
              <w:bottom w:type="dxa" w:w="80"/>
              <w:right w:type="dxa" w:w="100"/>
            </w:tcMar>
          </w:tcPr>
          <w:p>
            <w:pPr>
              <w:spacing w:after="40"/>
            </w:pPr>
            <w:r>
              <w:rPr>
                <w:sz w:val="20"/>
                <w:szCs w:val="20"/>
              </w:rPr>
              <w:t xml:space="preserve">Warehouse maintenance vendors with facility access; regional IT support providers</w:t>
            </w:r>
          </w:p>
        </w:tc>
        <w:tc>
          <w:tcPr>
            <w:tcW w:type="dxa" w:w="2100"/>
            <w:tcMar>
              <w:top w:type="dxa" w:w="80"/>
              <w:left w:type="dxa" w:w="100"/>
              <w:bottom w:type="dxa" w:w="80"/>
              <w:right w:type="dxa" w:w="100"/>
            </w:tcMar>
          </w:tcPr>
          <w:p>
            <w:pPr>
              <w:spacing w:after="40"/>
            </w:pPr>
            <w:r>
              <w:rPr>
                <w:sz w:val="20"/>
                <w:szCs w:val="20"/>
              </w:rPr>
              <w:t xml:space="preserve">Every two years</w:t>
            </w:r>
          </w:p>
        </w:tc>
      </w:tr>
      <w:tr>
        <w:tc>
          <w:tcPr>
            <w:tcW w:type="dxa" w:w="1500"/>
            <w:tcMar>
              <w:top w:type="dxa" w:w="80"/>
              <w:left w:type="dxa" w:w="100"/>
              <w:bottom w:type="dxa" w:w="80"/>
              <w:right w:type="dxa" w:w="100"/>
            </w:tcMar>
          </w:tcPr>
          <w:p>
            <w:pPr>
              <w:spacing w:after="40"/>
            </w:pPr>
            <w:r>
              <w:rPr>
                <w:sz w:val="20"/>
                <w:szCs w:val="20"/>
              </w:rPr>
              <w:t xml:space="preserve">Low</w:t>
            </w:r>
          </w:p>
        </w:tc>
        <w:tc>
          <w:tcPr>
            <w:tcW w:type="dxa" w:w="3400"/>
            <w:tcMar>
              <w:top w:type="dxa" w:w="80"/>
              <w:left w:type="dxa" w:w="100"/>
              <w:bottom w:type="dxa" w:w="80"/>
              <w:right w:type="dxa" w:w="100"/>
            </w:tcMar>
          </w:tcPr>
          <w:p>
            <w:pPr>
              <w:spacing w:after="40"/>
            </w:pPr>
            <w:r>
              <w:rPr>
                <w:sz w:val="20"/>
                <w:szCs w:val="20"/>
              </w:rPr>
              <w:t xml:space="preserve">No access to sensitive data or systems; minimal operational dependency</w:t>
            </w:r>
          </w:p>
        </w:tc>
        <w:tc>
          <w:tcPr>
            <w:tcW w:type="dxa" w:w="2200"/>
            <w:tcMar>
              <w:top w:type="dxa" w:w="80"/>
              <w:left w:type="dxa" w:w="100"/>
              <w:bottom w:type="dxa" w:w="80"/>
              <w:right w:type="dxa" w:w="100"/>
            </w:tcMar>
          </w:tcPr>
          <w:p>
            <w:pPr>
              <w:spacing w:after="40"/>
            </w:pPr>
            <w:r>
              <w:rPr>
                <w:sz w:val="20"/>
                <w:szCs w:val="20"/>
              </w:rPr>
              <w:t xml:space="preserve">Office supplies vendors; non-data-handling professional services</w:t>
            </w:r>
          </w:p>
        </w:tc>
        <w:tc>
          <w:tcPr>
            <w:tcW w:type="dxa" w:w="2100"/>
            <w:tcMar>
              <w:top w:type="dxa" w:w="80"/>
              <w:left w:type="dxa" w:w="100"/>
              <w:bottom w:type="dxa" w:w="80"/>
              <w:right w:type="dxa" w:w="100"/>
            </w:tcMar>
          </w:tcPr>
          <w:p>
            <w:pPr>
              <w:spacing w:after="40"/>
            </w:pPr>
            <w:r>
              <w:rPr>
                <w:sz w:val="20"/>
                <w:szCs w:val="20"/>
              </w:rPr>
              <w:t xml:space="preserve">On contract renewal</w:t>
            </w:r>
          </w:p>
        </w:tc>
      </w:tr>
    </w:tbl>
    <w:p>
      <w:pPr>
        <w:spacing w:after="150" w:line="276"/>
      </w:pPr>
      <w:r>
        <w:rPr>
          <w:sz w:val="21"/>
          <w:szCs w:val="21"/>
        </w:rPr>
        <w:t xml:space="preserve">Risk tier assignments are proposed by the Business/Contract Owner and confirmed by Procurement in consultation with the CISO and Information Officer for any engagement involving Confidential, Restricted, or personal data.</w:t>
      </w:r>
    </w:p>
    <w:p>
      <w:pPr>
        <w:pStyle w:val="Heading1"/>
        <w:pBdr>
          <w:bottom w:val="single" w:color="1F3864" w:sz="6" w:space="4"/>
        </w:pBdr>
        <w:spacing w:after="200" w:before="400"/>
      </w:pPr>
      <w:r>
        <w:rPr>
          <w:b/>
          <w:bCs/>
          <w:color w:val="1F3864"/>
          <w:sz w:val="30"/>
          <w:szCs w:val="30"/>
        </w:rPr>
        <w:t xml:space="preserve">5. Due Diligence and Onboarding</w:t>
      </w:r>
    </w:p>
    <w:p>
      <w:pPr>
        <w:pStyle w:val="Heading2"/>
        <w:spacing w:after="150" w:before="300"/>
      </w:pPr>
      <w:r>
        <w:rPr>
          <w:b/>
          <w:bCs/>
          <w:color w:val="2E5395"/>
          <w:sz w:val="25"/>
          <w:szCs w:val="25"/>
        </w:rPr>
        <w:t xml:space="preserve">5.1 Pre-Onboarding Assessment</w:t>
      </w:r>
    </w:p>
    <w:p>
      <w:pPr>
        <w:pStyle w:val="ListParagraph"/>
        <w:numPr>
          <w:ilvl w:val="0"/>
          <w:numId w:val="1"/>
        </w:numPr>
        <w:spacing w:after="90" w:line="276"/>
      </w:pPr>
      <w:r>
        <w:rPr>
          <w:sz w:val="21"/>
          <w:szCs w:val="21"/>
        </w:rPr>
        <w:t xml:space="preserve">All prospective customs brokers, delivery subcontractors, and technology vendors must undergo a documented, risk-based due diligence assessment before onboarding, covering security practices, data handling capability, operational resilience, and financial and regulatory standing.</w:t>
      </w:r>
    </w:p>
    <w:p>
      <w:pPr>
        <w:pStyle w:val="ListParagraph"/>
        <w:numPr>
          <w:ilvl w:val="0"/>
          <w:numId w:val="1"/>
        </w:numPr>
        <w:spacing w:after="90" w:line="276"/>
      </w:pPr>
      <w:r>
        <w:rPr>
          <w:sz w:val="21"/>
          <w:szCs w:val="21"/>
        </w:rPr>
        <w:t xml:space="preserve">Vendors and brokers proposed for Critical or High-tier engagements must complete a security questionnaire and provide evidence of independent certification (e.g., ISO/IEC 27001, SOC 2 Type II) where available, or be subject to an on-site or remote assessment.</w:t>
      </w:r>
    </w:p>
    <w:p>
      <w:pPr>
        <w:pStyle w:val="ListParagraph"/>
        <w:numPr>
          <w:ilvl w:val="0"/>
          <w:numId w:val="1"/>
        </w:numPr>
        <w:spacing w:after="90" w:line="276"/>
      </w:pPr>
      <w:r>
        <w:rPr>
          <w:sz w:val="21"/>
          <w:szCs w:val="21"/>
        </w:rPr>
        <w:t xml:space="preserve">Engagements involving processing of personal data on Falcon Freight's behalf require sign-off from the Information Officer before onboarding proceeds.</w:t>
      </w:r>
    </w:p>
    <w:p>
      <w:pPr>
        <w:pStyle w:val="ListParagraph"/>
        <w:numPr>
          <w:ilvl w:val="0"/>
          <w:numId w:val="1"/>
        </w:numPr>
        <w:spacing w:after="90" w:line="276"/>
      </w:pPr>
      <w:r>
        <w:rPr>
          <w:sz w:val="21"/>
          <w:szCs w:val="21"/>
        </w:rPr>
        <w:t xml:space="preserve">No third party may be granted system, data, or facility access before due diligence is complete and the engagement has been approved by the relevant risk owner.</w:t>
      </w:r>
    </w:p>
    <w:p>
      <w:pPr>
        <w:pStyle w:val="Heading2"/>
        <w:spacing w:after="150" w:before="300"/>
      </w:pPr>
      <w:r>
        <w:rPr>
          <w:b/>
          <w:bCs/>
          <w:color w:val="2E5395"/>
          <w:sz w:val="25"/>
          <w:szCs w:val="25"/>
        </w:rPr>
        <w:t xml:space="preserve">5.2 Vendor and Third-Party Risk Register</w:t>
      </w:r>
    </w:p>
    <w:p>
      <w:pPr>
        <w:spacing w:after="150" w:line="276"/>
      </w:pPr>
      <w:r>
        <w:rPr>
          <w:sz w:val="21"/>
          <w:szCs w:val="21"/>
        </w:rPr>
        <w:t xml:space="preserve">A central Vendor and Third-Party Risk Register, maintained by Procurement in coordination with the CISO, records for every third party: legal entity details, risk tier, country of operation, categories of data accessed, systems accessed, contract start and renewal dates, due diligence outcomes, and the assigned Business/Contract Owner. The Register is reviewed by the ISSC at each quarterly meeting.</w:t>
      </w:r>
    </w:p>
    <w:p>
      <w:pPr>
        <w:pStyle w:val="Heading1"/>
        <w:pBdr>
          <w:bottom w:val="single" w:color="1F3864" w:sz="6" w:space="4"/>
        </w:pBdr>
        <w:spacing w:after="200" w:before="400"/>
      </w:pPr>
      <w:r>
        <w:rPr>
          <w:b/>
          <w:bCs/>
          <w:color w:val="1F3864"/>
          <w:sz w:val="30"/>
          <w:szCs w:val="30"/>
        </w:rPr>
        <w:t xml:space="preserve">6. Contractual Requirements</w:t>
      </w:r>
    </w:p>
    <w:p>
      <w:pPr>
        <w:spacing w:after="150" w:line="276"/>
      </w:pPr>
      <w:r>
        <w:rPr>
          <w:sz w:val="21"/>
          <w:szCs w:val="21"/>
        </w:rPr>
        <w:t xml:space="preserve">All contracts with customs brokers, subcontracted delivery contractors, technology vendors, and other in-scope suppliers must include, at minimum:</w:t>
      </w:r>
    </w:p>
    <w:p>
      <w:pPr>
        <w:pStyle w:val="ListParagraph"/>
        <w:numPr>
          <w:ilvl w:val="0"/>
          <w:numId w:val="1"/>
        </w:numPr>
        <w:spacing w:after="90" w:line="276"/>
      </w:pPr>
      <w:r>
        <w:rPr>
          <w:sz w:val="21"/>
          <w:szCs w:val="21"/>
        </w:rPr>
        <w:t xml:space="preserve">A confidentiality and data protection clause consistent with POPIA, applicable East African data protection laws, and GDPR, as applicable to the relationship.</w:t>
      </w:r>
    </w:p>
    <w:p>
      <w:pPr>
        <w:pStyle w:val="ListParagraph"/>
        <w:numPr>
          <w:ilvl w:val="0"/>
          <w:numId w:val="1"/>
        </w:numPr>
        <w:spacing w:after="90" w:line="276"/>
      </w:pPr>
      <w:r>
        <w:rPr>
          <w:sz w:val="21"/>
          <w:szCs w:val="21"/>
        </w:rPr>
        <w:t xml:space="preserve">A Data Processing Agreement (DPA) where the third party processes personal data on Falcon Freight's behalf, defining purpose, retention, sub-processing restrictions, and audit rights.</w:t>
      </w:r>
    </w:p>
    <w:p>
      <w:pPr>
        <w:pStyle w:val="ListParagraph"/>
        <w:numPr>
          <w:ilvl w:val="0"/>
          <w:numId w:val="1"/>
        </w:numPr>
        <w:spacing w:after="90" w:line="276"/>
      </w:pPr>
      <w:r>
        <w:rPr>
          <w:sz w:val="21"/>
          <w:szCs w:val="21"/>
        </w:rPr>
        <w:t xml:space="preserve">Defined information security requirements proportionate to the third party's risk tier and the data or systems accessed.</w:t>
      </w:r>
    </w:p>
    <w:p>
      <w:pPr>
        <w:pStyle w:val="ListParagraph"/>
        <w:numPr>
          <w:ilvl w:val="0"/>
          <w:numId w:val="1"/>
        </w:numPr>
        <w:spacing w:after="90" w:line="276"/>
      </w:pPr>
      <w:r>
        <w:rPr>
          <w:sz w:val="21"/>
          <w:szCs w:val="21"/>
        </w:rPr>
        <w:t xml:space="preserve">Mandatory security incident notification to Falcon Freight within 24 hours of discovery, regardless of where the incident occurred.</w:t>
      </w:r>
    </w:p>
    <w:p>
      <w:pPr>
        <w:pStyle w:val="ListParagraph"/>
        <w:numPr>
          <w:ilvl w:val="0"/>
          <w:numId w:val="1"/>
        </w:numPr>
        <w:spacing w:after="90" w:line="276"/>
      </w:pPr>
      <w:r>
        <w:rPr>
          <w:sz w:val="21"/>
          <w:szCs w:val="21"/>
        </w:rPr>
        <w:t xml:space="preserve">The right for Falcon Freight, or an appointed auditor, to conduct periodic security and compliance audits.</w:t>
      </w:r>
    </w:p>
    <w:p>
      <w:pPr>
        <w:pStyle w:val="ListParagraph"/>
        <w:numPr>
          <w:ilvl w:val="0"/>
          <w:numId w:val="1"/>
        </w:numPr>
        <w:spacing w:after="90" w:line="276"/>
      </w:pPr>
      <w:r>
        <w:rPr>
          <w:sz w:val="21"/>
          <w:szCs w:val="21"/>
        </w:rPr>
        <w:t xml:space="preserve">Defined service levels and performance metrics, with remedies for non-performance.</w:t>
      </w:r>
    </w:p>
    <w:p>
      <w:pPr>
        <w:pStyle w:val="ListParagraph"/>
        <w:numPr>
          <w:ilvl w:val="0"/>
          <w:numId w:val="1"/>
        </w:numPr>
        <w:spacing w:after="90" w:line="276"/>
      </w:pPr>
      <w:r>
        <w:rPr>
          <w:sz w:val="21"/>
          <w:szCs w:val="21"/>
        </w:rPr>
        <w:t xml:space="preserve">Defined data return or secure destruction obligations upon contract termination.</w:t>
      </w:r>
    </w:p>
    <w:p>
      <w:pPr>
        <w:pStyle w:val="ListParagraph"/>
        <w:numPr>
          <w:ilvl w:val="0"/>
          <w:numId w:val="1"/>
        </w:numPr>
        <w:spacing w:after="90" w:line="276"/>
      </w:pPr>
      <w:r>
        <w:rPr>
          <w:sz w:val="21"/>
          <w:szCs w:val="21"/>
        </w:rPr>
        <w:t xml:space="preserve">Liability and indemnity provisions proportionate to the sensitivity of data accessed and the criticality of the service.</w:t>
      </w:r>
    </w:p>
    <w:p>
      <w:pPr>
        <w:pStyle w:val="ListParagraph"/>
        <w:numPr>
          <w:ilvl w:val="0"/>
          <w:numId w:val="1"/>
        </w:numPr>
        <w:spacing w:after="90" w:line="276"/>
      </w:pPr>
      <w:r>
        <w:rPr>
          <w:sz w:val="21"/>
          <w:szCs w:val="21"/>
        </w:rPr>
        <w:t xml:space="preserve">A right for Falcon Freight to terminate or suspend access on discovery of a material security or compliance failure.</w:t>
      </w:r>
    </w:p>
    <w:p>
      <w:pPr>
        <w:spacing w:after="150" w:line="276"/>
      </w:pPr>
      <w:r>
        <w:rPr>
          <w:sz w:val="21"/>
          <w:szCs w:val="21"/>
        </w:rPr>
        <w:t xml:space="preserve">Contracts for Critical and High-tier third parties must be reviewed by the CISO or Information Officer, as applicable, before signature. No contract renewal may proceed while a reassessment is overdue.</w:t>
      </w:r>
    </w:p>
    <w:p>
      <w:pPr>
        <w:pStyle w:val="Heading1"/>
        <w:pBdr>
          <w:bottom w:val="single" w:color="1F3864" w:sz="6" w:space="4"/>
        </w:pBdr>
        <w:spacing w:after="200" w:before="400"/>
      </w:pPr>
      <w:r>
        <w:rPr>
          <w:b/>
          <w:bCs/>
          <w:color w:val="1F3864"/>
          <w:sz w:val="30"/>
          <w:szCs w:val="30"/>
        </w:rPr>
        <w:t xml:space="preserve">7. Vendor Access Control</w:t>
      </w:r>
    </w:p>
    <w:p>
      <w:pPr>
        <w:pStyle w:val="ListParagraph"/>
        <w:numPr>
          <w:ilvl w:val="0"/>
          <w:numId w:val="1"/>
        </w:numPr>
        <w:spacing w:after="90" w:line="276"/>
      </w:pPr>
      <w:r>
        <w:rPr>
          <w:sz w:val="21"/>
          <w:szCs w:val="21"/>
        </w:rPr>
        <w:t xml:space="preserve">Third parties are provisioned with the minimum access necessary to perform their contracted function (e.g., delivery status updates, proof-of-delivery capture, facility maintenance access) and are never granted standing access to backend systems.</w:t>
      </w:r>
    </w:p>
    <w:p>
      <w:pPr>
        <w:pStyle w:val="ListParagraph"/>
        <w:numPr>
          <w:ilvl w:val="0"/>
          <w:numId w:val="1"/>
        </w:numPr>
        <w:spacing w:after="90" w:line="276"/>
      </w:pPr>
      <w:r>
        <w:rPr>
          <w:sz w:val="21"/>
          <w:szCs w:val="21"/>
        </w:rPr>
        <w:t xml:space="preserve">All third-party account creation, modification, and deactivation requests must be logged and approved by the relevant system owner and the Business/Contract Owner.</w:t>
      </w:r>
    </w:p>
    <w:p>
      <w:pPr>
        <w:pStyle w:val="ListParagraph"/>
        <w:numPr>
          <w:ilvl w:val="0"/>
          <w:numId w:val="1"/>
        </w:numPr>
        <w:spacing w:after="90" w:line="276"/>
      </w:pPr>
      <w:r>
        <w:rPr>
          <w:sz w:val="21"/>
          <w:szCs w:val="21"/>
        </w:rPr>
        <w:t xml:space="preserve">Multi-factor authentication (MFA) is mandatory for any third-party remote access to Falcon Freight systems, and for all access to Restricted or Confidential data.</w:t>
      </w:r>
    </w:p>
    <w:p>
      <w:pPr>
        <w:pStyle w:val="ListParagraph"/>
        <w:numPr>
          <w:ilvl w:val="0"/>
          <w:numId w:val="1"/>
        </w:numPr>
        <w:spacing w:after="90" w:line="276"/>
      </w:pPr>
      <w:r>
        <w:rPr>
          <w:sz w:val="21"/>
          <w:szCs w:val="21"/>
        </w:rPr>
        <w:t xml:space="preserve">Third-party access rights are reviewed at least every six months, and immediately upon a change in the scope of engagement.</w:t>
      </w:r>
    </w:p>
    <w:p>
      <w:pPr>
        <w:pStyle w:val="ListParagraph"/>
        <w:numPr>
          <w:ilvl w:val="0"/>
          <w:numId w:val="1"/>
        </w:numPr>
        <w:spacing w:after="90" w:line="276"/>
      </w:pPr>
      <w:r>
        <w:rPr>
          <w:sz w:val="21"/>
          <w:szCs w:val="21"/>
        </w:rPr>
        <w:t xml:space="preserve">Access for a third party must be revoked within 24 hours of contract termination, expiry, or a formal offboarding notification from the Business/Contract Owner.</w:t>
      </w:r>
    </w:p>
    <w:p>
      <w:pPr>
        <w:pStyle w:val="ListParagraph"/>
        <w:numPr>
          <w:ilvl w:val="0"/>
          <w:numId w:val="1"/>
        </w:numPr>
        <w:spacing w:after="90" w:line="276"/>
      </w:pPr>
      <w:r>
        <w:rPr>
          <w:sz w:val="21"/>
          <w:szCs w:val="21"/>
        </w:rPr>
        <w:t xml:space="preserve">Mobile devices used by delivery contractors and field agents to access Falcon Freight systems must be enrolled in a mobile device management (MDM) solution, enforce device encryption and passcode/biometric lock, and support remote wipe.</w:t>
      </w:r>
    </w:p>
    <w:p>
      <w:pPr>
        <w:pStyle w:val="Heading1"/>
        <w:pBdr>
          <w:bottom w:val="single" w:color="1F3864" w:sz="6" w:space="4"/>
        </w:pBdr>
        <w:spacing w:after="200" w:before="400"/>
      </w:pPr>
      <w:r>
        <w:rPr>
          <w:b/>
          <w:bCs/>
          <w:color w:val="1F3864"/>
          <w:sz w:val="30"/>
          <w:szCs w:val="30"/>
        </w:rPr>
        <w:t xml:space="preserve">8. Cross-Border Data Transfer by Third Parties</w:t>
      </w:r>
    </w:p>
    <w:p>
      <w:pPr>
        <w:pStyle w:val="ListParagraph"/>
        <w:numPr>
          <w:ilvl w:val="0"/>
          <w:numId w:val="1"/>
        </w:numPr>
        <w:spacing w:after="90" w:line="276"/>
      </w:pPr>
      <w:r>
        <w:rPr>
          <w:sz w:val="21"/>
          <w:szCs w:val="21"/>
        </w:rPr>
        <w:t xml:space="preserve">Where a third party processes or transfers Falcon Freight or customer data across national borders, the transfer must have a documented legal basis under the law of the originating jurisdiction (e.g., POPIA cross-border transfer conditions; applicable East African data protection requirements; GDPR Chapter V mechanisms such as Standard Contractual Clauses).</w:t>
      </w:r>
    </w:p>
    <w:p>
      <w:pPr>
        <w:pStyle w:val="ListParagraph"/>
        <w:numPr>
          <w:ilvl w:val="0"/>
          <w:numId w:val="1"/>
        </w:numPr>
        <w:spacing w:after="90" w:line="276"/>
      </w:pPr>
      <w:r>
        <w:rPr>
          <w:sz w:val="21"/>
          <w:szCs w:val="21"/>
        </w:rPr>
        <w:t xml:space="preserve">Before engaging a third party that will process data outside the country of origin, a Data Protection Impact Assessment (DPIA) and transfer risk assessment must be completed and approved by the Information Officer.</w:t>
      </w:r>
    </w:p>
    <w:p>
      <w:pPr>
        <w:pStyle w:val="ListParagraph"/>
        <w:numPr>
          <w:ilvl w:val="0"/>
          <w:numId w:val="1"/>
        </w:numPr>
        <w:spacing w:after="90" w:line="276"/>
      </w:pPr>
      <w:r>
        <w:rPr>
          <w:sz w:val="21"/>
          <w:szCs w:val="21"/>
        </w:rPr>
        <w:t xml:space="preserve">All third-party cross-border data flows must be recorded in Falcon Freight's Register of Cross-Border Data Transfers, including the data categories transferred, origin and destination countries, and the legal transfer mechanism relied upon.</w:t>
      </w:r>
    </w:p>
    <w:p>
      <w:pPr>
        <w:pStyle w:val="ListParagraph"/>
        <w:numPr>
          <w:ilvl w:val="0"/>
          <w:numId w:val="1"/>
        </w:numPr>
        <w:spacing w:after="90" w:line="276"/>
      </w:pPr>
      <w:r>
        <w:rPr>
          <w:sz w:val="21"/>
          <w:szCs w:val="21"/>
        </w:rPr>
        <w:t xml:space="preserve">Customer and shipment data shared with customs brokers in a different country from the data's origin must be transferred through approved, encrypted channels only, and never via unmanaged personal email or messaging applications.</w:t>
      </w:r>
    </w:p>
    <w:p>
      <w:pPr>
        <w:pStyle w:val="Heading1"/>
        <w:pBdr>
          <w:bottom w:val="single" w:color="1F3864" w:sz="6" w:space="4"/>
        </w:pBdr>
        <w:spacing w:after="200" w:before="400"/>
      </w:pPr>
      <w:r>
        <w:rPr>
          <w:b/>
          <w:bCs/>
          <w:color w:val="1F3864"/>
          <w:sz w:val="30"/>
          <w:szCs w:val="30"/>
        </w:rPr>
        <w:t xml:space="preserve">9. Ongoing Monitoring and Reassessment</w:t>
      </w:r>
    </w:p>
    <w:p>
      <w:pPr>
        <w:pStyle w:val="ListParagraph"/>
        <w:numPr>
          <w:ilvl w:val="0"/>
          <w:numId w:val="1"/>
        </w:numPr>
        <w:spacing w:after="90" w:line="276"/>
      </w:pPr>
      <w:r>
        <w:rPr>
          <w:sz w:val="21"/>
          <w:szCs w:val="21"/>
        </w:rPr>
        <w:t xml:space="preserve">Vendor risk tiering determines the minimum frequency of reassessment: Critical third parties are reassessed at least annually with continuous monitoring where feasible; High-tier annually; Medium-tier every two years; Low-tier on contract renewal.</w:t>
      </w:r>
    </w:p>
    <w:p>
      <w:pPr>
        <w:pStyle w:val="ListParagraph"/>
        <w:numPr>
          <w:ilvl w:val="0"/>
          <w:numId w:val="1"/>
        </w:numPr>
        <w:spacing w:after="90" w:line="276"/>
      </w:pPr>
      <w:r>
        <w:rPr>
          <w:sz w:val="21"/>
          <w:szCs w:val="21"/>
        </w:rPr>
        <w:t xml:space="preserve">Subcontracted delivery contractors and customs brokers are subject to periodic spot-checks on credential use, device security, and adherence to data handling procedures, coordinated by Regional IT/Security Leads.</w:t>
      </w:r>
    </w:p>
    <w:p>
      <w:pPr>
        <w:pStyle w:val="ListParagraph"/>
        <w:numPr>
          <w:ilvl w:val="0"/>
          <w:numId w:val="1"/>
        </w:numPr>
        <w:spacing w:after="90" w:line="276"/>
      </w:pPr>
      <w:r>
        <w:rPr>
          <w:sz w:val="21"/>
          <w:szCs w:val="21"/>
        </w:rPr>
        <w:t xml:space="preserve">Critical and High-tier vendors must provide current independent security certifications or attestations (e.g., ISO/IEC 27001, SOC 2 Type II) at each reassessment.</w:t>
      </w:r>
    </w:p>
    <w:p>
      <w:pPr>
        <w:pStyle w:val="ListParagraph"/>
        <w:numPr>
          <w:ilvl w:val="0"/>
          <w:numId w:val="1"/>
        </w:numPr>
        <w:spacing w:after="90" w:line="276"/>
      </w:pPr>
      <w:r>
        <w:rPr>
          <w:sz w:val="21"/>
          <w:szCs w:val="21"/>
        </w:rPr>
        <w:t xml:space="preserve">Business/Contract Owners must report material changes in a third party's ownership, financial standing, sub-processors, or service scope to Procurement and the CISO promptly.</w:t>
      </w:r>
    </w:p>
    <w:p>
      <w:pPr>
        <w:pStyle w:val="ListParagraph"/>
        <w:numPr>
          <w:ilvl w:val="0"/>
          <w:numId w:val="1"/>
        </w:numPr>
        <w:spacing w:after="90" w:line="276"/>
      </w:pPr>
      <w:r>
        <w:rPr>
          <w:sz w:val="21"/>
          <w:szCs w:val="21"/>
        </w:rPr>
        <w:t xml:space="preserve">Any third party found in material breach of its security, data protection, or performance obligations is subject to remediation planning and, where risk warrants, suspension or termination of the engagement.</w:t>
      </w:r>
    </w:p>
    <w:p>
      <w:pPr>
        <w:pStyle w:val="Heading1"/>
        <w:pBdr>
          <w:bottom w:val="single" w:color="1F3864" w:sz="6" w:space="4"/>
        </w:pBdr>
        <w:spacing w:after="200" w:before="400"/>
      </w:pPr>
      <w:r>
        <w:rPr>
          <w:b/>
          <w:bCs/>
          <w:color w:val="1F3864"/>
          <w:sz w:val="30"/>
          <w:szCs w:val="30"/>
        </w:rPr>
        <w:t xml:space="preserve">10. Vendor Incident and Breach Management</w:t>
      </w:r>
    </w:p>
    <w:p>
      <w:pPr>
        <w:spacing w:after="150" w:line="276"/>
      </w:pPr>
      <w:r>
        <w:rPr>
          <w:sz w:val="21"/>
          <w:szCs w:val="21"/>
        </w:rPr>
        <w:t xml:space="preserve">Customs brokers, subcontracted delivery contractors, and vendors are contractually required to notify Falcon Freight within 24 hours of discovering any actual or suspected security incident affecting Falcon Freight or customer data, regardless of whether the incident occurred on Falcon Freight systems.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600"/>
      </w:tblGrid>
      <w:tr>
        <w:trPr>
          <w:tblHeader/>
        </w:trPr>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Stage</w:t>
            </w:r>
          </w:p>
        </w:tc>
        <w:tc>
          <w:tcPr>
            <w:tcW w:type="dxa" w:w="3400"/>
            <w:shd w:fill="1F3864" w:val="clear"/>
            <w:tcMar>
              <w:top w:type="dxa" w:w="80"/>
              <w:left w:type="dxa" w:w="100"/>
              <w:bottom w:type="dxa" w:w="80"/>
              <w:right w:type="dxa" w:w="100"/>
            </w:tcMar>
            <w:vAlign w:val="center"/>
          </w:tcPr>
          <w:p>
            <w:pPr>
              <w:spacing w:after="40"/>
            </w:pPr>
            <w:r>
              <w:rPr>
                <w:b/>
                <w:bCs/>
                <w:color w:val="FFFFFF"/>
                <w:sz w:val="20"/>
                <w:szCs w:val="20"/>
              </w:rPr>
              <w:t xml:space="preserve">Target Timeframe</w:t>
            </w:r>
          </w:p>
        </w:tc>
        <w:tc>
          <w:tcPr>
            <w:tcW w:type="dxa" w:w="2600"/>
            <w:shd w:fill="1F3864" w:val="clear"/>
            <w:tcMar>
              <w:top w:type="dxa" w:w="80"/>
              <w:left w:type="dxa" w:w="100"/>
              <w:bottom w:type="dxa" w:w="80"/>
              <w:right w:type="dxa" w:w="100"/>
            </w:tcMar>
            <w:vAlign w:val="center"/>
          </w:tcPr>
          <w:p>
            <w:pPr>
              <w:spacing w:after="40"/>
            </w:pPr>
            <w:r>
              <w:rPr>
                <w:b/>
                <w:bCs/>
                <w:color w:val="FFFFFF"/>
                <w:sz w:val="20"/>
                <w:szCs w:val="20"/>
              </w:rPr>
              <w:t xml:space="preserve">Owner</w:t>
            </w:r>
          </w:p>
        </w:tc>
      </w:tr>
      <w:tr>
        <w:tc>
          <w:tcPr>
            <w:tcW w:type="dxa" w:w="2600"/>
            <w:tcMar>
              <w:top w:type="dxa" w:w="80"/>
              <w:left w:type="dxa" w:w="100"/>
              <w:bottom w:type="dxa" w:w="80"/>
              <w:right w:type="dxa" w:w="100"/>
            </w:tcMar>
          </w:tcPr>
          <w:p>
            <w:pPr>
              <w:spacing w:after="40"/>
            </w:pPr>
            <w:r>
              <w:rPr>
                <w:sz w:val="20"/>
                <w:szCs w:val="20"/>
              </w:rPr>
              <w:t xml:space="preserve">Third-party incident notification received</w:t>
            </w:r>
          </w:p>
        </w:tc>
        <w:tc>
          <w:tcPr>
            <w:tcW w:type="dxa" w:w="3400"/>
            <w:tcMar>
              <w:top w:type="dxa" w:w="80"/>
              <w:left w:type="dxa" w:w="100"/>
              <w:bottom w:type="dxa" w:w="80"/>
              <w:right w:type="dxa" w:w="100"/>
            </w:tcMar>
          </w:tcPr>
          <w:p>
            <w:pPr>
              <w:spacing w:after="40"/>
            </w:pPr>
            <w:r>
              <w:rPr>
                <w:sz w:val="20"/>
                <w:szCs w:val="20"/>
              </w:rPr>
              <w:t xml:space="preserve">Within 24 hours of third party's discovery (contractual)</w:t>
            </w:r>
          </w:p>
        </w:tc>
        <w:tc>
          <w:tcPr>
            <w:tcW w:type="dxa" w:w="2600"/>
            <w:tcMar>
              <w:top w:type="dxa" w:w="80"/>
              <w:left w:type="dxa" w:w="100"/>
              <w:bottom w:type="dxa" w:w="80"/>
              <w:right w:type="dxa" w:w="100"/>
            </w:tcMar>
          </w:tcPr>
          <w:p>
            <w:pPr>
              <w:spacing w:after="40"/>
            </w:pPr>
            <w:r>
              <w:rPr>
                <w:sz w:val="20"/>
                <w:szCs w:val="20"/>
              </w:rPr>
              <w:t xml:space="preserve">Business/Contract Owner</w:t>
            </w:r>
          </w:p>
        </w:tc>
      </w:tr>
      <w:tr>
        <w:tc>
          <w:tcPr>
            <w:tcW w:type="dxa" w:w="2600"/>
            <w:tcMar>
              <w:top w:type="dxa" w:w="80"/>
              <w:left w:type="dxa" w:w="100"/>
              <w:bottom w:type="dxa" w:w="80"/>
              <w:right w:type="dxa" w:w="100"/>
            </w:tcMar>
          </w:tcPr>
          <w:p>
            <w:pPr>
              <w:spacing w:after="40"/>
            </w:pPr>
            <w:r>
              <w:rPr>
                <w:sz w:val="20"/>
                <w:szCs w:val="20"/>
              </w:rPr>
              <w:t xml:space="preserve">Internal triage and escalation to CISO</w:t>
            </w:r>
          </w:p>
        </w:tc>
        <w:tc>
          <w:tcPr>
            <w:tcW w:type="dxa" w:w="3400"/>
            <w:tcMar>
              <w:top w:type="dxa" w:w="80"/>
              <w:left w:type="dxa" w:w="100"/>
              <w:bottom w:type="dxa" w:w="80"/>
              <w:right w:type="dxa" w:w="100"/>
            </w:tcMar>
          </w:tcPr>
          <w:p>
            <w:pPr>
              <w:spacing w:after="40"/>
            </w:pPr>
            <w:r>
              <w:rPr>
                <w:sz w:val="20"/>
                <w:szCs w:val="20"/>
              </w:rPr>
              <w:t xml:space="preserve">Within 4 hours of notification</w:t>
            </w:r>
          </w:p>
        </w:tc>
        <w:tc>
          <w:tcPr>
            <w:tcW w:type="dxa" w:w="2600"/>
            <w:tcMar>
              <w:top w:type="dxa" w:w="80"/>
              <w:left w:type="dxa" w:w="100"/>
              <w:bottom w:type="dxa" w:w="80"/>
              <w:right w:type="dxa" w:w="100"/>
            </w:tcMar>
          </w:tcPr>
          <w:p>
            <w:pPr>
              <w:spacing w:after="40"/>
            </w:pPr>
            <w:r>
              <w:rPr>
                <w:sz w:val="20"/>
                <w:szCs w:val="20"/>
              </w:rPr>
              <w:t xml:space="preserve">Regional IT/Security Lead</w:t>
            </w:r>
          </w:p>
        </w:tc>
      </w:tr>
      <w:tr>
        <w:tc>
          <w:tcPr>
            <w:tcW w:type="dxa" w:w="2600"/>
            <w:tcMar>
              <w:top w:type="dxa" w:w="80"/>
              <w:left w:type="dxa" w:w="100"/>
              <w:bottom w:type="dxa" w:w="80"/>
              <w:right w:type="dxa" w:w="100"/>
            </w:tcMar>
          </w:tcPr>
          <w:p>
            <w:pPr>
              <w:spacing w:after="40"/>
            </w:pPr>
            <w:r>
              <w:rPr>
                <w:sz w:val="20"/>
                <w:szCs w:val="20"/>
              </w:rPr>
              <w:t xml:space="preserve">Escalation to Information Officer (if personal data affected)</w:t>
            </w:r>
          </w:p>
        </w:tc>
        <w:tc>
          <w:tcPr>
            <w:tcW w:type="dxa" w:w="3400"/>
            <w:tcMar>
              <w:top w:type="dxa" w:w="80"/>
              <w:left w:type="dxa" w:w="100"/>
              <w:bottom w:type="dxa" w:w="80"/>
              <w:right w:type="dxa" w:w="100"/>
            </w:tcMar>
          </w:tcPr>
          <w:p>
            <w:pPr>
              <w:spacing w:after="40"/>
            </w:pPr>
            <w:r>
              <w:rPr>
                <w:sz w:val="20"/>
                <w:szCs w:val="20"/>
              </w:rPr>
              <w:t xml:space="preserve">Within 24 hours</w:t>
            </w:r>
          </w:p>
        </w:tc>
        <w:tc>
          <w:tcPr>
            <w:tcW w:type="dxa" w:w="2600"/>
            <w:tcMar>
              <w:top w:type="dxa" w:w="80"/>
              <w:left w:type="dxa" w:w="100"/>
              <w:bottom w:type="dxa" w:w="80"/>
              <w:right w:type="dxa" w:w="100"/>
            </w:tcMar>
          </w:tcPr>
          <w:p>
            <w:pPr>
              <w:spacing w:after="40"/>
            </w:pPr>
            <w:r>
              <w:rPr>
                <w:sz w:val="20"/>
                <w:szCs w:val="20"/>
              </w:rPr>
              <w:t xml:space="preserve">CISO</w:t>
            </w:r>
          </w:p>
        </w:tc>
      </w:tr>
      <w:tr>
        <w:tc>
          <w:tcPr>
            <w:tcW w:type="dxa" w:w="2600"/>
            <w:tcMar>
              <w:top w:type="dxa" w:w="80"/>
              <w:left w:type="dxa" w:w="100"/>
              <w:bottom w:type="dxa" w:w="80"/>
              <w:right w:type="dxa" w:w="100"/>
            </w:tcMar>
          </w:tcPr>
          <w:p>
            <w:pPr>
              <w:spacing w:after="40"/>
            </w:pPr>
            <w:r>
              <w:rPr>
                <w:sz w:val="20"/>
                <w:szCs w:val="20"/>
              </w:rPr>
              <w:t xml:space="preserve">Regulatory breach notification (where required)</w:t>
            </w:r>
          </w:p>
        </w:tc>
        <w:tc>
          <w:tcPr>
            <w:tcW w:type="dxa" w:w="3400"/>
            <w:tcMar>
              <w:top w:type="dxa" w:w="80"/>
              <w:left w:type="dxa" w:w="100"/>
              <w:bottom w:type="dxa" w:w="80"/>
              <w:right w:type="dxa" w:w="100"/>
            </w:tcMar>
          </w:tcPr>
          <w:p>
            <w:pPr>
              <w:spacing w:after="40"/>
            </w:pPr>
            <w:r>
              <w:rPr>
                <w:sz w:val="20"/>
                <w:szCs w:val="20"/>
              </w:rPr>
              <w:t xml:space="preserve">As required by law (e.g., without undue delay under POPIA; within 72 hours under GDPR where applicable)</w:t>
            </w:r>
          </w:p>
        </w:tc>
        <w:tc>
          <w:tcPr>
            <w:tcW w:type="dxa" w:w="2600"/>
            <w:tcMar>
              <w:top w:type="dxa" w:w="80"/>
              <w:left w:type="dxa" w:w="100"/>
              <w:bottom w:type="dxa" w:w="80"/>
              <w:right w:type="dxa" w:w="100"/>
            </w:tcMar>
          </w:tcPr>
          <w:p>
            <w:pPr>
              <w:spacing w:after="40"/>
            </w:pPr>
            <w:r>
              <w:rPr>
                <w:sz w:val="20"/>
                <w:szCs w:val="20"/>
              </w:rPr>
              <w:t xml:space="preserve">Information Officer</w:t>
            </w:r>
          </w:p>
        </w:tc>
      </w:tr>
      <w:tr>
        <w:tc>
          <w:tcPr>
            <w:tcW w:type="dxa" w:w="2600"/>
            <w:tcMar>
              <w:top w:type="dxa" w:w="80"/>
              <w:left w:type="dxa" w:w="100"/>
              <w:bottom w:type="dxa" w:w="80"/>
              <w:right w:type="dxa" w:w="100"/>
            </w:tcMar>
          </w:tcPr>
          <w:p>
            <w:pPr>
              <w:spacing w:after="40"/>
            </w:pPr>
            <w:r>
              <w:rPr>
                <w:sz w:val="20"/>
                <w:szCs w:val="20"/>
              </w:rPr>
              <w:t xml:space="preserve">Remediation plan and, if warranted, suspension of vendor access</w:t>
            </w:r>
          </w:p>
        </w:tc>
        <w:tc>
          <w:tcPr>
            <w:tcW w:type="dxa" w:w="3400"/>
            <w:tcMar>
              <w:top w:type="dxa" w:w="80"/>
              <w:left w:type="dxa" w:w="100"/>
              <w:bottom w:type="dxa" w:w="80"/>
              <w:right w:type="dxa" w:w="100"/>
            </w:tcMar>
          </w:tcPr>
          <w:p>
            <w:pPr>
              <w:spacing w:after="40"/>
            </w:pPr>
            <w:r>
              <w:rPr>
                <w:sz w:val="20"/>
                <w:szCs w:val="20"/>
              </w:rPr>
              <w:t xml:space="preserve">Within 5 business days of confirmed incident</w:t>
            </w:r>
          </w:p>
        </w:tc>
        <w:tc>
          <w:tcPr>
            <w:tcW w:type="dxa" w:w="2600"/>
            <w:tcMar>
              <w:top w:type="dxa" w:w="80"/>
              <w:left w:type="dxa" w:w="100"/>
              <w:bottom w:type="dxa" w:w="80"/>
              <w:right w:type="dxa" w:w="100"/>
            </w:tcMar>
          </w:tcPr>
          <w:p>
            <w:pPr>
              <w:spacing w:after="40"/>
            </w:pPr>
            <w:r>
              <w:rPr>
                <w:sz w:val="20"/>
                <w:szCs w:val="20"/>
              </w:rPr>
              <w:t xml:space="preserve">CISO / Procurement</w:t>
            </w:r>
          </w:p>
        </w:tc>
      </w:tr>
      <w:tr>
        <w:tc>
          <w:tcPr>
            <w:tcW w:type="dxa" w:w="2600"/>
            <w:tcMar>
              <w:top w:type="dxa" w:w="80"/>
              <w:left w:type="dxa" w:w="100"/>
              <w:bottom w:type="dxa" w:w="80"/>
              <w:right w:type="dxa" w:w="100"/>
            </w:tcMar>
          </w:tcPr>
          <w:p>
            <w:pPr>
              <w:spacing w:after="40"/>
            </w:pPr>
            <w:r>
              <w:rPr>
                <w:sz w:val="20"/>
                <w:szCs w:val="20"/>
              </w:rPr>
              <w:t xml:space="preserve">Post-incident review of the vendor relationship</w:t>
            </w:r>
          </w:p>
        </w:tc>
        <w:tc>
          <w:tcPr>
            <w:tcW w:type="dxa" w:w="3400"/>
            <w:tcMar>
              <w:top w:type="dxa" w:w="80"/>
              <w:left w:type="dxa" w:w="100"/>
              <w:bottom w:type="dxa" w:w="80"/>
              <w:right w:type="dxa" w:w="100"/>
            </w:tcMar>
          </w:tcPr>
          <w:p>
            <w:pPr>
              <w:spacing w:after="40"/>
            </w:pPr>
            <w:r>
              <w:rPr>
                <w:sz w:val="20"/>
                <w:szCs w:val="20"/>
              </w:rPr>
              <w:t xml:space="preserve">Within 15 business days of closure</w:t>
            </w:r>
          </w:p>
        </w:tc>
        <w:tc>
          <w:tcPr>
            <w:tcW w:type="dxa" w:w="2600"/>
            <w:tcMar>
              <w:top w:type="dxa" w:w="80"/>
              <w:left w:type="dxa" w:w="100"/>
              <w:bottom w:type="dxa" w:w="80"/>
              <w:right w:type="dxa" w:w="100"/>
            </w:tcMar>
          </w:tcPr>
          <w:p>
            <w:pPr>
              <w:spacing w:after="40"/>
            </w:pPr>
            <w:r>
              <w:rPr>
                <w:sz w:val="20"/>
                <w:szCs w:val="20"/>
              </w:rPr>
              <w:t xml:space="preserve">Procurement</w:t>
            </w:r>
          </w:p>
        </w:tc>
      </w:tr>
    </w:tbl>
    <w:p>
      <w:pPr>
        <w:pStyle w:val="Heading1"/>
        <w:pBdr>
          <w:bottom w:val="single" w:color="1F3864" w:sz="6" w:space="4"/>
        </w:pBdr>
        <w:spacing w:after="200" w:before="400"/>
      </w:pPr>
      <w:r>
        <w:rPr>
          <w:b/>
          <w:bCs/>
          <w:color w:val="1F3864"/>
          <w:sz w:val="30"/>
          <w:szCs w:val="30"/>
        </w:rPr>
        <w:t xml:space="preserve">11. Vendor Performance and Business Continuity</w:t>
      </w:r>
    </w:p>
    <w:p>
      <w:pPr>
        <w:pStyle w:val="ListParagraph"/>
        <w:numPr>
          <w:ilvl w:val="0"/>
          <w:numId w:val="1"/>
        </w:numPr>
        <w:spacing w:after="90" w:line="276"/>
      </w:pPr>
      <w:r>
        <w:rPr>
          <w:sz w:val="21"/>
          <w:szCs w:val="21"/>
        </w:rPr>
        <w:t xml:space="preserve">Business/Contract Owners monitor vendor performance against agreed service levels and report material underperformance to Procurement.</w:t>
      </w:r>
    </w:p>
    <w:p>
      <w:pPr>
        <w:pStyle w:val="ListParagraph"/>
        <w:numPr>
          <w:ilvl w:val="0"/>
          <w:numId w:val="1"/>
        </w:numPr>
        <w:spacing w:after="90" w:line="276"/>
      </w:pPr>
      <w:r>
        <w:rPr>
          <w:sz w:val="21"/>
          <w:szCs w:val="21"/>
        </w:rPr>
        <w:t xml:space="preserve">Critical third parties (e.g., the cloud shipment tracking provider, core customs brokers) must be covered by a documented contingency or exit plan addressing extended outages or sudden loss of service.</w:t>
      </w:r>
    </w:p>
    <w:p>
      <w:pPr>
        <w:pStyle w:val="ListParagraph"/>
        <w:numPr>
          <w:ilvl w:val="0"/>
          <w:numId w:val="1"/>
        </w:numPr>
        <w:spacing w:after="90" w:line="276"/>
      </w:pPr>
      <w:r>
        <w:rPr>
          <w:sz w:val="21"/>
          <w:szCs w:val="21"/>
        </w:rPr>
        <w:t xml:space="preserve">Falcon Freight avoids undue concentration risk by periodically reviewing single points of failure in its vendor network, particularly for Critical-tier engagements.</w:t>
      </w:r>
    </w:p>
    <w:p>
      <w:pPr>
        <w:pStyle w:val="ListParagraph"/>
        <w:numPr>
          <w:ilvl w:val="0"/>
          <w:numId w:val="1"/>
        </w:numPr>
        <w:spacing w:after="90" w:line="276"/>
      </w:pPr>
      <w:r>
        <w:rPr>
          <w:sz w:val="21"/>
          <w:szCs w:val="21"/>
        </w:rPr>
        <w:t xml:space="preserve">Vendor-related continuity arrangements are tested or reviewed at least annually and reported to the Board Risk &amp; Audit Committee.</w:t>
      </w:r>
    </w:p>
    <w:p>
      <w:pPr>
        <w:pStyle w:val="Heading1"/>
        <w:pBdr>
          <w:bottom w:val="single" w:color="1F3864" w:sz="6" w:space="4"/>
        </w:pBdr>
        <w:spacing w:after="200" w:before="400"/>
      </w:pPr>
      <w:r>
        <w:rPr>
          <w:b/>
          <w:bCs/>
          <w:color w:val="1F3864"/>
          <w:sz w:val="30"/>
          <w:szCs w:val="30"/>
        </w:rPr>
        <w:t xml:space="preserve">12. Vendor Offboarding and Termination</w:t>
      </w:r>
    </w:p>
    <w:p>
      <w:pPr>
        <w:pStyle w:val="ListParagraph"/>
        <w:numPr>
          <w:ilvl w:val="0"/>
          <w:numId w:val="1"/>
        </w:numPr>
        <w:spacing w:after="90" w:line="276"/>
      </w:pPr>
      <w:r>
        <w:rPr>
          <w:sz w:val="21"/>
          <w:szCs w:val="21"/>
        </w:rPr>
        <w:t xml:space="preserve">Offboarding must be initiated by the Business/Contract Owner and coordinated with Procurement, IT Operations, and the Information Officer as applicable.</w:t>
      </w:r>
    </w:p>
    <w:p>
      <w:pPr>
        <w:pStyle w:val="ListParagraph"/>
        <w:numPr>
          <w:ilvl w:val="0"/>
          <w:numId w:val="1"/>
        </w:numPr>
        <w:spacing w:after="90" w:line="276"/>
      </w:pPr>
      <w:r>
        <w:rPr>
          <w:sz w:val="21"/>
          <w:szCs w:val="21"/>
        </w:rPr>
        <w:t xml:space="preserve">All system, network, and facility access for the third party must be revoked within 24 hours of contract termination or expiry.</w:t>
      </w:r>
    </w:p>
    <w:p>
      <w:pPr>
        <w:pStyle w:val="ListParagraph"/>
        <w:numPr>
          <w:ilvl w:val="0"/>
          <w:numId w:val="1"/>
        </w:numPr>
        <w:spacing w:after="90" w:line="276"/>
      </w:pPr>
      <w:r>
        <w:rPr>
          <w:sz w:val="21"/>
          <w:szCs w:val="21"/>
        </w:rPr>
        <w:t xml:space="preserve">The third party must confirm, in writing, the return or secure destruction of all Falcon Freight and customer data in its possession, consistent with the contractual data return or destruction clause.</w:t>
      </w:r>
    </w:p>
    <w:p>
      <w:pPr>
        <w:pStyle w:val="ListParagraph"/>
        <w:numPr>
          <w:ilvl w:val="0"/>
          <w:numId w:val="1"/>
        </w:numPr>
        <w:spacing w:after="90" w:line="276"/>
      </w:pPr>
      <w:r>
        <w:rPr>
          <w:sz w:val="21"/>
          <w:szCs w:val="21"/>
        </w:rPr>
        <w:t xml:space="preserve">Any outstanding audit findings, incidents, or remediation items must be closed out or formally recorded as accepted risk before the engagement is closed in the Vendor and Third-Party Risk Register.</w:t>
      </w:r>
    </w:p>
    <w:p>
      <w:pPr>
        <w:pStyle w:val="ListParagraph"/>
        <w:numPr>
          <w:ilvl w:val="0"/>
          <w:numId w:val="1"/>
        </w:numPr>
        <w:spacing w:after="90" w:line="276"/>
      </w:pPr>
      <w:r>
        <w:rPr>
          <w:sz w:val="21"/>
          <w:szCs w:val="21"/>
        </w:rPr>
        <w:t xml:space="preserve">A closure record, including the reason for termination, is retained in the Register for audit purposes.</w:t>
      </w:r>
    </w:p>
    <w:p>
      <w:pPr>
        <w:pStyle w:val="Heading1"/>
        <w:pBdr>
          <w:bottom w:val="single" w:color="1F3864" w:sz="6" w:space="4"/>
        </w:pBdr>
        <w:spacing w:after="200" w:before="400"/>
      </w:pPr>
      <w:r>
        <w:rPr>
          <w:b/>
          <w:bCs/>
          <w:color w:val="1F3864"/>
          <w:sz w:val="30"/>
          <w:szCs w:val="30"/>
        </w:rPr>
        <w:t xml:space="preserve">13. Audit and Compliance</w:t>
      </w:r>
    </w:p>
    <w:p>
      <w:pPr>
        <w:pStyle w:val="ListParagraph"/>
        <w:numPr>
          <w:ilvl w:val="0"/>
          <w:numId w:val="1"/>
        </w:numPr>
        <w:spacing w:after="90" w:line="276"/>
      </w:pPr>
      <w:r>
        <w:rPr>
          <w:sz w:val="21"/>
          <w:szCs w:val="21"/>
        </w:rPr>
        <w:t xml:space="preserve">Internal audits of this Policy and the vendor lifecycle process are conducted at least annually.</w:t>
      </w:r>
    </w:p>
    <w:p>
      <w:pPr>
        <w:pStyle w:val="ListParagraph"/>
        <w:numPr>
          <w:ilvl w:val="0"/>
          <w:numId w:val="1"/>
        </w:numPr>
        <w:spacing w:after="90" w:line="276"/>
      </w:pPr>
      <w:r>
        <w:rPr>
          <w:sz w:val="21"/>
          <w:szCs w:val="21"/>
        </w:rPr>
        <w:t xml:space="preserve">Falcon Freight, or an appointed auditor, reserves the contractual right to audit Critical and High-tier third parties on a risk basis.</w:t>
      </w:r>
    </w:p>
    <w:p>
      <w:pPr>
        <w:pStyle w:val="ListParagraph"/>
        <w:numPr>
          <w:ilvl w:val="0"/>
          <w:numId w:val="1"/>
        </w:numPr>
        <w:spacing w:after="90" w:line="276"/>
      </w:pPr>
      <w:r>
        <w:rPr>
          <w:sz w:val="21"/>
          <w:szCs w:val="21"/>
        </w:rPr>
        <w:t xml:space="preserve">Regional compliance reviews are conducted at least annually by the CISO's office to identify inconsistent enforcement of vendor management requirements across regions.</w:t>
      </w:r>
    </w:p>
    <w:p>
      <w:pPr>
        <w:pStyle w:val="ListParagraph"/>
        <w:numPr>
          <w:ilvl w:val="0"/>
          <w:numId w:val="1"/>
        </w:numPr>
        <w:spacing w:after="90" w:line="276"/>
      </w:pPr>
      <w:r>
        <w:rPr>
          <w:sz w:val="21"/>
          <w:szCs w:val="21"/>
        </w:rPr>
        <w:t xml:space="preserve">Key vendor risk indicators (e.g., overdue reassessments, expired certifications, unresolved audit findings, incident volumes by vendor) are tracked on a Group-wide compliance dashboard and reported to the ISSC and Board Risk &amp; Audit Committee.</w:t>
      </w:r>
    </w:p>
    <w:p>
      <w:pPr>
        <w:pStyle w:val="Heading1"/>
        <w:pBdr>
          <w:bottom w:val="single" w:color="1F3864" w:sz="6" w:space="4"/>
        </w:pBdr>
        <w:spacing w:after="200" w:before="400"/>
      </w:pPr>
      <w:r>
        <w:rPr>
          <w:b/>
          <w:bCs/>
          <w:color w:val="1F3864"/>
          <w:sz w:val="30"/>
          <w:szCs w:val="30"/>
        </w:rPr>
        <w:t xml:space="preserve">14. Policy Enforcement, Exceptions and Sanctions</w:t>
      </w:r>
    </w:p>
    <w:p>
      <w:pPr>
        <w:spacing w:after="150" w:line="276"/>
      </w:pPr>
      <w:r>
        <w:rPr>
          <w:sz w:val="21"/>
          <w:szCs w:val="21"/>
        </w:rPr>
        <w:t xml:space="preserve">Compliance with this Policy is mandatory for all Falcon Freight employees and business units engaging third parties. Any exception must be requested in writing, include a compensating control and business justification, and be approved by the CISO or Head of Procurement (or the Board Risk &amp; Audit Committee for exceptions affecting Critical-tier vendors or cross-border data transfers).</w:t>
      </w:r>
    </w:p>
    <w:p>
      <w:pPr>
        <w:spacing w:after="150" w:line="276"/>
      </w:pPr>
      <w:r>
        <w:rPr>
          <w:sz w:val="21"/>
          <w:szCs w:val="21"/>
        </w:rPr>
        <w:t xml:space="preserve">Employees who onboard or continue to engage a third party outside this Policy's requirements may be subject to disciplinary action. Vendors, customs brokers, or subcontracted delivery contractors found in breach of their contractual obligations may be subject to remediation requirements, suspension of access, financial penalties as specified in contract, or termination of the engagement.</w:t>
      </w:r>
    </w:p>
    <w:p>
      <w:pPr>
        <w:pStyle w:val="Heading1"/>
        <w:pBdr>
          <w:bottom w:val="single" w:color="1F3864" w:sz="6" w:space="4"/>
        </w:pBdr>
        <w:spacing w:after="200" w:before="400"/>
      </w:pPr>
      <w:r>
        <w:rPr>
          <w:b/>
          <w:bCs/>
          <w:color w:val="1F3864"/>
          <w:sz w:val="30"/>
          <w:szCs w:val="30"/>
        </w:rPr>
        <w:t xml:space="preserve">15. Policy Review and Amendment</w:t>
      </w:r>
    </w:p>
    <w:p>
      <w:pPr>
        <w:spacing w:after="150" w:line="276"/>
      </w:pPr>
      <w:r>
        <w:rPr>
          <w:sz w:val="21"/>
          <w:szCs w:val="21"/>
        </w:rPr>
        <w:t xml:space="preserve">This Policy is jointly owned by the CISO and the Head of Procurement / Vendor Management and is reviewed at least annually, or sooner in response to significant changes such as entry into a new country of operation, a material change in the vendor or broker network, a significant third-party security incident, or changes in applicable law (including amendments to POPIA, GDPR, or applicable East African data protection laws). All revisions require approval by the Board Risk &amp; Audit Committee prior to publication.</w:t>
      </w:r>
    </w:p>
    <w:p>
      <w:pPr>
        <w:pStyle w:val="Heading1"/>
        <w:pBdr>
          <w:bottom w:val="single" w:color="1F3864" w:sz="6" w:space="4"/>
        </w:pBdr>
        <w:spacing w:after="200" w:before="400"/>
      </w:pPr>
      <w:r>
        <w:rPr>
          <w:b/>
          <w:bCs/>
          <w:color w:val="1F3864"/>
          <w:sz w:val="30"/>
          <w:szCs w:val="30"/>
        </w:rPr>
        <w:t xml:space="preserve">16. Related Policies and Standards</w:t>
      </w:r>
    </w:p>
    <w:p>
      <w:pPr>
        <w:pStyle w:val="ListParagraph"/>
        <w:numPr>
          <w:ilvl w:val="0"/>
          <w:numId w:val="1"/>
        </w:numPr>
        <w:spacing w:after="90" w:line="276"/>
      </w:pPr>
      <w:r>
        <w:rPr>
          <w:sz w:val="21"/>
          <w:szCs w:val="21"/>
        </w:rPr>
        <w:t xml:space="preserve">Information Security Policy</w:t>
      </w:r>
    </w:p>
    <w:p>
      <w:pPr>
        <w:pStyle w:val="ListParagraph"/>
        <w:numPr>
          <w:ilvl w:val="0"/>
          <w:numId w:val="1"/>
        </w:numPr>
        <w:spacing w:after="90" w:line="276"/>
      </w:pPr>
      <w:r>
        <w:rPr>
          <w:sz w:val="21"/>
          <w:szCs w:val="21"/>
        </w:rPr>
        <w:t xml:space="preserve">Acceptable Use Standard</w:t>
      </w:r>
    </w:p>
    <w:p>
      <w:pPr>
        <w:pStyle w:val="ListParagraph"/>
        <w:numPr>
          <w:ilvl w:val="0"/>
          <w:numId w:val="1"/>
        </w:numPr>
        <w:spacing w:after="90" w:line="276"/>
      </w:pPr>
      <w:r>
        <w:rPr>
          <w:sz w:val="21"/>
          <w:szCs w:val="21"/>
        </w:rPr>
        <w:t xml:space="preserve">Access Control Standard</w:t>
      </w:r>
    </w:p>
    <w:p>
      <w:pPr>
        <w:pStyle w:val="ListParagraph"/>
        <w:numPr>
          <w:ilvl w:val="0"/>
          <w:numId w:val="1"/>
        </w:numPr>
        <w:spacing w:after="90" w:line="276"/>
      </w:pPr>
      <w:r>
        <w:rPr>
          <w:sz w:val="21"/>
          <w:szCs w:val="21"/>
        </w:rPr>
        <w:t xml:space="preserve">Data Classification and Handling Standard</w:t>
      </w:r>
    </w:p>
    <w:p>
      <w:pPr>
        <w:pStyle w:val="ListParagraph"/>
        <w:numPr>
          <w:ilvl w:val="0"/>
          <w:numId w:val="1"/>
        </w:numPr>
        <w:spacing w:after="90" w:line="276"/>
      </w:pPr>
      <w:r>
        <w:rPr>
          <w:sz w:val="21"/>
          <w:szCs w:val="21"/>
        </w:rPr>
        <w:t xml:space="preserve">Data Protection and Privacy Notice (external-facing)</w:t>
      </w:r>
    </w:p>
    <w:p>
      <w:pPr>
        <w:pStyle w:val="ListParagraph"/>
        <w:numPr>
          <w:ilvl w:val="0"/>
          <w:numId w:val="1"/>
        </w:numPr>
        <w:spacing w:after="90" w:line="276"/>
      </w:pPr>
      <w:r>
        <w:rPr>
          <w:sz w:val="21"/>
          <w:szCs w:val="21"/>
        </w:rPr>
        <w:t xml:space="preserve">Cross-Border Data Transfer Procedure</w:t>
      </w:r>
    </w:p>
    <w:p>
      <w:pPr>
        <w:pStyle w:val="ListParagraph"/>
        <w:numPr>
          <w:ilvl w:val="0"/>
          <w:numId w:val="1"/>
        </w:numPr>
        <w:spacing w:after="90" w:line="276"/>
      </w:pPr>
      <w:r>
        <w:rPr>
          <w:sz w:val="21"/>
          <w:szCs w:val="21"/>
        </w:rPr>
        <w:t xml:space="preserve">Incident Response Plan</w:t>
      </w:r>
    </w:p>
    <w:p>
      <w:pPr>
        <w:pStyle w:val="ListParagraph"/>
        <w:numPr>
          <w:ilvl w:val="0"/>
          <w:numId w:val="1"/>
        </w:numPr>
        <w:spacing w:after="90" w:line="276"/>
      </w:pPr>
      <w:r>
        <w:rPr>
          <w:sz w:val="21"/>
          <w:szCs w:val="21"/>
        </w:rPr>
        <w:t xml:space="preserve">Business Continuity and Disaster Recovery Plan</w:t>
      </w:r>
    </w:p>
    <w:p>
      <w:pPr>
        <w:pStyle w:val="ListParagraph"/>
        <w:numPr>
          <w:ilvl w:val="0"/>
          <w:numId w:val="1"/>
        </w:numPr>
        <w:spacing w:after="90" w:line="276"/>
      </w:pPr>
      <w:r>
        <w:rPr>
          <w:sz w:val="21"/>
          <w:szCs w:val="21"/>
        </w:rPr>
        <w:t xml:space="preserve">Procurement and Contracting Standard</w:t>
      </w:r>
    </w:p>
    <w:p>
      <w:pPr>
        <w:pStyle w:val="Heading1"/>
        <w:pBdr>
          <w:bottom w:val="single" w:color="1F3864" w:sz="6" w:space="4"/>
        </w:pBdr>
        <w:spacing w:after="200" w:before="400"/>
      </w:pPr>
      <w:r>
        <w:rPr>
          <w:b/>
          <w:bCs/>
          <w:color w:val="1F3864"/>
          <w:sz w:val="30"/>
          <w:szCs w:val="30"/>
        </w:rPr>
        <w:t xml:space="preserve">17. 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4100"/>
        <w:gridCol w:w="1500"/>
        <w:gridCol w:w="1300"/>
      </w:tblGrid>
      <w:tr>
        <w:trPr>
          <w:tblHeader/>
        </w:trPr>
        <w:tc>
          <w:tcPr>
            <w:tcW w:type="dxa" w:w="1100"/>
            <w:shd w:fill="1F3864" w:val="clear"/>
            <w:tcMar>
              <w:top w:type="dxa" w:w="80"/>
              <w:left w:type="dxa" w:w="100"/>
              <w:bottom w:type="dxa" w:w="80"/>
              <w:right w:type="dxa" w:w="100"/>
            </w:tcMar>
            <w:vAlign w:val="center"/>
          </w:tcPr>
          <w:p>
            <w:pPr>
              <w:spacing w:after="40"/>
            </w:pPr>
            <w:r>
              <w:rPr>
                <w:b/>
                <w:bCs/>
                <w:color w:val="FFFFFF"/>
                <w:sz w:val="20"/>
                <w:szCs w:val="20"/>
              </w:rPr>
              <w:t xml:space="preserve">Version</w:t>
            </w:r>
          </w:p>
        </w:tc>
        <w:tc>
          <w:tcPr>
            <w:tcW w:type="dxa" w:w="1400"/>
            <w:shd w:fill="1F3864" w:val="clear"/>
            <w:tcMar>
              <w:top w:type="dxa" w:w="80"/>
              <w:left w:type="dxa" w:w="100"/>
              <w:bottom w:type="dxa" w:w="80"/>
              <w:right w:type="dxa" w:w="100"/>
            </w:tcMar>
            <w:vAlign w:val="center"/>
          </w:tcPr>
          <w:p>
            <w:pPr>
              <w:spacing w:after="40"/>
            </w:pPr>
            <w:r>
              <w:rPr>
                <w:b/>
                <w:bCs/>
                <w:color w:val="FFFFFF"/>
                <w:sz w:val="20"/>
                <w:szCs w:val="20"/>
              </w:rPr>
              <w:t xml:space="preserve">Date</w:t>
            </w:r>
          </w:p>
        </w:tc>
        <w:tc>
          <w:tcPr>
            <w:tcW w:type="dxa" w:w="4100"/>
            <w:shd w:fill="1F3864" w:val="clear"/>
            <w:tcMar>
              <w:top w:type="dxa" w:w="80"/>
              <w:left w:type="dxa" w:w="100"/>
              <w:bottom w:type="dxa" w:w="80"/>
              <w:right w:type="dxa" w:w="100"/>
            </w:tcMar>
            <w:vAlign w:val="center"/>
          </w:tcPr>
          <w:p>
            <w:pPr>
              <w:spacing w:after="40"/>
            </w:pPr>
            <w:r>
              <w:rPr>
                <w:b/>
                <w:bCs/>
                <w:color w:val="FFFFFF"/>
                <w:sz w:val="20"/>
                <w:szCs w:val="20"/>
              </w:rPr>
              <w:t xml:space="preserve">Details</w:t>
            </w:r>
          </w:p>
        </w:tc>
        <w:tc>
          <w:tcPr>
            <w:tcW w:type="dxa" w:w="1500"/>
            <w:shd w:fill="1F3864" w:val="clear"/>
            <w:tcMar>
              <w:top w:type="dxa" w:w="80"/>
              <w:left w:type="dxa" w:w="100"/>
              <w:bottom w:type="dxa" w:w="80"/>
              <w:right w:type="dxa" w:w="100"/>
            </w:tcMar>
            <w:vAlign w:val="center"/>
          </w:tcPr>
          <w:p>
            <w:pPr>
              <w:spacing w:after="40"/>
            </w:pPr>
            <w:r>
              <w:rPr>
                <w:b/>
                <w:bCs/>
                <w:color w:val="FFFFFF"/>
                <w:sz w:val="20"/>
                <w:szCs w:val="20"/>
              </w:rPr>
              <w:t xml:space="preserve">Author</w:t>
            </w:r>
          </w:p>
        </w:tc>
        <w:tc>
          <w:tcPr>
            <w:tcW w:type="dxa" w:w="1300"/>
            <w:shd w:fill="1F3864" w:val="clear"/>
            <w:tcMar>
              <w:top w:type="dxa" w:w="80"/>
              <w:left w:type="dxa" w:w="100"/>
              <w:bottom w:type="dxa" w:w="80"/>
              <w:right w:type="dxa" w:w="100"/>
            </w:tcMar>
            <w:vAlign w:val="center"/>
          </w:tcPr>
          <w:p>
            <w:pPr>
              <w:spacing w:after="40"/>
            </w:pPr>
            <w:r>
              <w:rPr>
                <w:b/>
                <w:bCs/>
                <w:color w:val="FFFFFF"/>
                <w:sz w:val="20"/>
                <w:szCs w:val="20"/>
              </w:rPr>
              <w:t xml:space="preserve">Approved</w:t>
            </w:r>
          </w:p>
        </w:tc>
      </w:tr>
      <w:tr>
        <w:tc>
          <w:tcPr>
            <w:tcW w:type="dxa" w:w="1100"/>
            <w:tcMar>
              <w:top w:type="dxa" w:w="80"/>
              <w:left w:type="dxa" w:w="100"/>
              <w:bottom w:type="dxa" w:w="80"/>
              <w:right w:type="dxa" w:w="100"/>
            </w:tcMar>
          </w:tcPr>
          <w:p>
            <w:pPr>
              <w:spacing w:after="40"/>
            </w:pPr>
            <w:r>
              <w:rPr>
                <w:sz w:val="20"/>
                <w:szCs w:val="20"/>
              </w:rPr>
              <w:t xml:space="preserve">1.0</w:t>
            </w:r>
          </w:p>
        </w:tc>
        <w:tc>
          <w:tcPr>
            <w:tcW w:type="dxa" w:w="1400"/>
            <w:tcMar>
              <w:top w:type="dxa" w:w="80"/>
              <w:left w:type="dxa" w:w="100"/>
              <w:bottom w:type="dxa" w:w="80"/>
              <w:right w:type="dxa" w:w="100"/>
            </w:tcMar>
          </w:tcPr>
          <w:p>
            <w:pPr>
              <w:spacing w:after="40"/>
            </w:pPr>
            <w:r>
              <w:rPr>
                <w:sz w:val="20"/>
                <w:szCs w:val="20"/>
              </w:rPr>
              <w:t xml:space="preserve">30/07/2026</w:t>
            </w:r>
          </w:p>
        </w:tc>
        <w:tc>
          <w:tcPr>
            <w:tcW w:type="dxa" w:w="4100"/>
            <w:tcMar>
              <w:top w:type="dxa" w:w="80"/>
              <w:left w:type="dxa" w:w="100"/>
              <w:bottom w:type="dxa" w:w="80"/>
              <w:right w:type="dxa" w:w="100"/>
            </w:tcMar>
          </w:tcPr>
          <w:p>
            <w:pPr>
              <w:spacing w:after="40"/>
            </w:pPr>
            <w:r>
              <w:rPr>
                <w:sz w:val="20"/>
                <w:szCs w:val="20"/>
              </w:rPr>
              <w:t xml:space="preserve">Initial issue of the Third-Party Vendor Management Policy, approved by the Board Risk &amp; Audit Committee</w:t>
            </w:r>
          </w:p>
        </w:tc>
        <w:tc>
          <w:tcPr>
            <w:tcW w:type="dxa" w:w="1500"/>
            <w:tcMar>
              <w:top w:type="dxa" w:w="80"/>
              <w:left w:type="dxa" w:w="100"/>
              <w:bottom w:type="dxa" w:w="80"/>
              <w:right w:type="dxa" w:w="100"/>
            </w:tcMar>
          </w:tcPr>
          <w:p>
            <w:pPr>
              <w:spacing w:after="40"/>
            </w:pPr>
            <w:r>
              <w:rPr>
                <w:sz w:val="20"/>
                <w:szCs w:val="20"/>
              </w:rPr>
              <w:t xml:space="preserve">CISO</w:t>
            </w:r>
          </w:p>
        </w:tc>
        <w:tc>
          <w:tcPr>
            <w:tcW w:type="dxa" w:w="1300"/>
            <w:tcMar>
              <w:top w:type="dxa" w:w="80"/>
              <w:left w:type="dxa" w:w="100"/>
              <w:bottom w:type="dxa" w:w="80"/>
              <w:right w:type="dxa" w:w="100"/>
            </w:tcMar>
          </w:tcPr>
          <w:p>
            <w:pPr>
              <w:spacing w:after="40"/>
            </w:pPr>
            <w:r>
              <w:rPr>
                <w:sz w:val="20"/>
                <w:szCs w:val="20"/>
              </w:rPr>
              <w:t xml:space="preserve">Approved</w:t>
            </w:r>
          </w:p>
        </w:tc>
      </w:tr>
    </w:tbl>
    <w:p>
      <w:pPr>
        <w:spacing w:after="150" w:line="276"/>
      </w:pPr>
    </w:p>
    <w:p>
      <w:pPr>
        <w:spacing w:before="500"/>
      </w:pPr>
      <w:r>
        <w:rPr>
          <w:b/>
          <w:bCs/>
          <w:color w:val="1F3864"/>
          <w:sz w:val="24"/>
          <w:szCs w:val="24"/>
        </w:rPr>
        <w:t xml:space="preserve">Document Approval</w:t>
      </w:r>
    </w:p>
    <w:p>
      <w:pPr>
        <w:spacing w:after="150" w:line="276"/>
      </w:pPr>
      <w:r>
        <w:rPr>
          <w:sz w:val="21"/>
          <w:szCs w:val="21"/>
        </w:rPr>
        <w:t xml:space="preserve">This Policy is approved for issue by the Board Risk &amp; Audit Committee of Falcon Freight Solutions and is effective from the date stated on the cover page.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Internal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Falcon Freight Solutions — Third-Party Vendor Management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2026-07-30T22:53:30.770Z</dcterms:created>
  <dcterms:modified xsi:type="dcterms:W3CDTF">2026-07-30T22:53:30.786Z</dcterms:modified>
</cp:coreProperties>
</file>

<file path=docProps/custom.xml><?xml version="1.0" encoding="utf-8"?>
<Properties xmlns="http://schemas.openxmlformats.org/officeDocument/2006/custom-properties" xmlns:vt="http://schemas.openxmlformats.org/officeDocument/2006/docPropsVTypes"/>
</file>