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33A4" w14:textId="3EEE7AA6" w:rsidR="00DD4D9D" w:rsidRDefault="00DD4D9D" w:rsidP="009C1E09">
      <w:pPr>
        <w:jc w:val="both"/>
        <w:rPr>
          <w:rFonts w:ascii="Arial" w:eastAsia="Times New Roman" w:hAnsi="Arial" w:cs="Arial"/>
          <w:b/>
          <w:bCs/>
          <w:color w:val="2B2B2B"/>
          <w:sz w:val="28"/>
          <w:szCs w:val="28"/>
        </w:rPr>
      </w:pPr>
      <w:r>
        <w:rPr>
          <w:rFonts w:ascii="Arial" w:eastAsia="Times New Roman" w:hAnsi="Arial" w:cs="Arial"/>
          <w:b/>
          <w:bCs/>
          <w:color w:val="2B2B2B"/>
          <w:sz w:val="28"/>
          <w:szCs w:val="28"/>
        </w:rPr>
        <w:t xml:space="preserve">CROWDFUNDING </w:t>
      </w:r>
      <w:r w:rsidR="00B57F7C">
        <w:rPr>
          <w:rFonts w:ascii="Arial" w:eastAsia="Times New Roman" w:hAnsi="Arial" w:cs="Arial"/>
          <w:b/>
          <w:bCs/>
          <w:color w:val="2B2B2B"/>
          <w:sz w:val="28"/>
          <w:szCs w:val="28"/>
        </w:rPr>
        <w:t>CAMPAIGN CONCLUSIONS</w:t>
      </w:r>
    </w:p>
    <w:p w14:paraId="79DB6270" w14:textId="46CE124F" w:rsidR="009C1E09" w:rsidRPr="00DD4D9D" w:rsidRDefault="009C1E09" w:rsidP="009C1E09">
      <w:pPr>
        <w:jc w:val="both"/>
        <w:rPr>
          <w:rFonts w:ascii="Arial" w:eastAsia="Times New Roman" w:hAnsi="Arial" w:cs="Arial"/>
          <w:b/>
          <w:bCs/>
          <w:color w:val="2B2B2B"/>
          <w:sz w:val="28"/>
          <w:szCs w:val="28"/>
        </w:rPr>
      </w:pPr>
      <w:r w:rsidRPr="00DD4D9D">
        <w:rPr>
          <w:rFonts w:ascii="Arial" w:eastAsia="Times New Roman" w:hAnsi="Arial" w:cs="Arial"/>
          <w:b/>
          <w:bCs/>
          <w:color w:val="2B2B2B"/>
          <w:sz w:val="28"/>
          <w:szCs w:val="28"/>
        </w:rPr>
        <w:t>Given the provided data, what are three conclusions that we can draw about crowdfunding campaigns?</w:t>
      </w:r>
    </w:p>
    <w:p w14:paraId="35C225EB" w14:textId="77777777" w:rsidR="00DD4D9D" w:rsidRPr="009C1E09" w:rsidRDefault="00DD4D9D" w:rsidP="009C1E09">
      <w:pPr>
        <w:jc w:val="both"/>
        <w:rPr>
          <w:rFonts w:ascii="Arial" w:eastAsia="Times New Roman" w:hAnsi="Arial" w:cs="Arial"/>
          <w:color w:val="2B2B2B"/>
          <w:sz w:val="28"/>
          <w:szCs w:val="28"/>
        </w:rPr>
      </w:pPr>
    </w:p>
    <w:p w14:paraId="705C5FE4" w14:textId="77777777" w:rsidR="009C1E09" w:rsidRPr="009C1E09" w:rsidRDefault="009C1E09" w:rsidP="009C1E09">
      <w:pPr>
        <w:jc w:val="both"/>
        <w:rPr>
          <w:rFonts w:ascii="Arial" w:eastAsia="Times New Roman" w:hAnsi="Arial" w:cs="Arial"/>
          <w:color w:val="2B2B2B"/>
          <w:sz w:val="28"/>
          <w:szCs w:val="28"/>
        </w:rPr>
      </w:pPr>
      <w:r w:rsidRPr="009C1E09">
        <w:rPr>
          <w:rFonts w:ascii="Arial" w:eastAsia="Times New Roman" w:hAnsi="Arial" w:cs="Arial"/>
          <w:color w:val="2B2B2B"/>
          <w:sz w:val="28"/>
          <w:szCs w:val="28"/>
        </w:rPr>
        <w:t>1.Campaign Popularity by Genre:</w:t>
      </w:r>
    </w:p>
    <w:p w14:paraId="447EDA35" w14:textId="376BA552" w:rsidR="009C1E09" w:rsidRPr="009C1E09" w:rsidRDefault="009C1E09" w:rsidP="009C1E09">
      <w:pPr>
        <w:jc w:val="both"/>
        <w:rPr>
          <w:rFonts w:ascii="Arial" w:eastAsia="Times New Roman" w:hAnsi="Arial" w:cs="Arial"/>
          <w:color w:val="2B2B2B"/>
          <w:sz w:val="28"/>
          <w:szCs w:val="28"/>
        </w:rPr>
      </w:pPr>
      <w:r w:rsidRPr="009C1E09">
        <w:rPr>
          <w:rFonts w:ascii="Arial" w:eastAsia="Times New Roman" w:hAnsi="Arial" w:cs="Arial"/>
          <w:color w:val="2B2B2B"/>
          <w:sz w:val="28"/>
          <w:szCs w:val="28"/>
        </w:rPr>
        <w:t>According to the provided data, crowdfunding campaigns experience the highest success rates in the categories of plays and rock music. These genres stand out as particularly popular among backers, suggesting that creators in these areas may find more success in crowdfunding campaigns.</w:t>
      </w:r>
    </w:p>
    <w:p w14:paraId="51860BB4" w14:textId="77777777" w:rsidR="009C1E09" w:rsidRPr="009C1E09" w:rsidRDefault="009C1E09" w:rsidP="009C1E09">
      <w:pPr>
        <w:jc w:val="both"/>
        <w:rPr>
          <w:rFonts w:ascii="Arial" w:eastAsia="Times New Roman" w:hAnsi="Arial" w:cs="Arial"/>
          <w:color w:val="2B2B2B"/>
          <w:sz w:val="28"/>
          <w:szCs w:val="28"/>
        </w:rPr>
      </w:pPr>
      <w:r w:rsidRPr="009C1E09">
        <w:rPr>
          <w:rFonts w:ascii="Arial" w:eastAsia="Times New Roman" w:hAnsi="Arial" w:cs="Arial"/>
          <w:color w:val="2B2B2B"/>
          <w:sz w:val="28"/>
          <w:szCs w:val="28"/>
        </w:rPr>
        <w:t>2.Optimal Timing for Campaign Launch:</w:t>
      </w:r>
    </w:p>
    <w:p w14:paraId="106DA566" w14:textId="74EDF55A" w:rsidR="009C1E09" w:rsidRPr="009C1E09" w:rsidRDefault="009C1E09" w:rsidP="009C1E09">
      <w:pPr>
        <w:jc w:val="both"/>
        <w:rPr>
          <w:rFonts w:ascii="Arial" w:eastAsia="Times New Roman" w:hAnsi="Arial" w:cs="Arial"/>
          <w:color w:val="2B2B2B"/>
          <w:sz w:val="28"/>
          <w:szCs w:val="28"/>
        </w:rPr>
      </w:pPr>
      <w:r w:rsidRPr="009C1E09">
        <w:rPr>
          <w:rFonts w:ascii="Arial" w:eastAsia="Times New Roman" w:hAnsi="Arial" w:cs="Arial"/>
          <w:color w:val="2B2B2B"/>
          <w:sz w:val="28"/>
          <w:szCs w:val="28"/>
        </w:rPr>
        <w:t>The analysis indicates that June and July emerge as the most favorable months to initiate crowdfunding campaigns. The data shows that campaigns launched during these months exhibit a higher rate of success. This insight can guide creators in selecting the most opportune times to introduce their projects for better chances of success.</w:t>
      </w:r>
    </w:p>
    <w:p w14:paraId="596F049B" w14:textId="77777777" w:rsidR="009C1E09" w:rsidRPr="009C1E09" w:rsidRDefault="009C1E09" w:rsidP="009C1E09">
      <w:pPr>
        <w:jc w:val="both"/>
        <w:rPr>
          <w:rFonts w:ascii="Arial" w:eastAsia="Times New Roman" w:hAnsi="Arial" w:cs="Arial"/>
          <w:color w:val="2B2B2B"/>
          <w:sz w:val="28"/>
          <w:szCs w:val="28"/>
        </w:rPr>
      </w:pPr>
      <w:r w:rsidRPr="009C1E09">
        <w:rPr>
          <w:rFonts w:ascii="Arial" w:eastAsia="Times New Roman" w:hAnsi="Arial" w:cs="Arial"/>
          <w:color w:val="2B2B2B"/>
          <w:sz w:val="28"/>
          <w:szCs w:val="28"/>
        </w:rPr>
        <w:t>3.Less Successful Campaign Categories:</w:t>
      </w:r>
    </w:p>
    <w:p w14:paraId="0079DAFC" w14:textId="0901B38A" w:rsidR="009C1E09" w:rsidRPr="009C1E09" w:rsidRDefault="009C1E09" w:rsidP="009C1E09">
      <w:pPr>
        <w:jc w:val="both"/>
        <w:rPr>
          <w:rFonts w:ascii="Arial" w:eastAsia="Times New Roman" w:hAnsi="Arial" w:cs="Arial"/>
          <w:color w:val="2B2B2B"/>
          <w:sz w:val="28"/>
          <w:szCs w:val="28"/>
        </w:rPr>
      </w:pPr>
      <w:r w:rsidRPr="009C1E09">
        <w:rPr>
          <w:rFonts w:ascii="Arial" w:eastAsia="Times New Roman" w:hAnsi="Arial" w:cs="Arial"/>
          <w:color w:val="2B2B2B"/>
          <w:sz w:val="28"/>
          <w:szCs w:val="28"/>
        </w:rPr>
        <w:t xml:space="preserve">The data highlights that radio &amp; podcasts, world music, and mobile games are among the least successful campaign categories, showing lower success rates. This information can be valuable for individuals planning </w:t>
      </w:r>
      <w:proofErr w:type="gramStart"/>
      <w:r w:rsidRPr="009C1E09">
        <w:rPr>
          <w:rFonts w:ascii="Arial" w:eastAsia="Times New Roman" w:hAnsi="Arial" w:cs="Arial"/>
          <w:color w:val="2B2B2B"/>
          <w:sz w:val="28"/>
          <w:szCs w:val="28"/>
        </w:rPr>
        <w:t>crowdfunding</w:t>
      </w:r>
      <w:proofErr w:type="gramEnd"/>
      <w:r w:rsidRPr="009C1E09">
        <w:rPr>
          <w:rFonts w:ascii="Arial" w:eastAsia="Times New Roman" w:hAnsi="Arial" w:cs="Arial"/>
          <w:color w:val="2B2B2B"/>
          <w:sz w:val="28"/>
          <w:szCs w:val="28"/>
        </w:rPr>
        <w:t xml:space="preserve"> initiatives, encouraging them to carefully consider the nature of their projects and potential audience engagement in these specific areas.</w:t>
      </w:r>
    </w:p>
    <w:p w14:paraId="5DD29DB5" w14:textId="77777777" w:rsidR="009C1E09" w:rsidRPr="009C1E09" w:rsidRDefault="009C1E09" w:rsidP="009C1E09">
      <w:pPr>
        <w:jc w:val="both"/>
        <w:rPr>
          <w:rFonts w:ascii="Arial" w:eastAsia="Times New Roman" w:hAnsi="Arial" w:cs="Arial"/>
          <w:color w:val="2B2B2B"/>
          <w:sz w:val="28"/>
          <w:szCs w:val="28"/>
        </w:rPr>
      </w:pPr>
      <w:r w:rsidRPr="009C1E09">
        <w:rPr>
          <w:rFonts w:ascii="Arial" w:eastAsia="Times New Roman" w:hAnsi="Arial" w:cs="Arial"/>
          <w:color w:val="2B2B2B"/>
          <w:sz w:val="28"/>
          <w:szCs w:val="28"/>
        </w:rPr>
        <w:t>According to the provided data, crowdfunding campaigns experience the highest success rates in the categories of plays and rock music. These genres stand out as particularly popular among backers, suggesting that creators in these areas may find more success in crowdfunding campaigns.</w:t>
      </w:r>
    </w:p>
    <w:p w14:paraId="4DE73AA9" w14:textId="77777777" w:rsidR="00DD4D9D" w:rsidRPr="00DD4D9D" w:rsidRDefault="00DD4D9D" w:rsidP="009C1E09">
      <w:pPr>
        <w:jc w:val="both"/>
        <w:rPr>
          <w:rFonts w:ascii="Arial" w:eastAsia="Times New Roman" w:hAnsi="Arial" w:cs="Arial"/>
          <w:b/>
          <w:bCs/>
          <w:color w:val="2B2B2B"/>
          <w:sz w:val="28"/>
          <w:szCs w:val="28"/>
        </w:rPr>
      </w:pPr>
    </w:p>
    <w:p w14:paraId="34F6468F" w14:textId="18C3DA77" w:rsidR="009C1E09" w:rsidRPr="00DD4D9D" w:rsidRDefault="009C1E09" w:rsidP="009C1E09">
      <w:pPr>
        <w:jc w:val="both"/>
        <w:rPr>
          <w:rFonts w:ascii="Arial" w:eastAsia="Times New Roman" w:hAnsi="Arial" w:cs="Arial"/>
          <w:b/>
          <w:bCs/>
          <w:color w:val="2B2B2B"/>
          <w:sz w:val="28"/>
          <w:szCs w:val="28"/>
        </w:rPr>
      </w:pPr>
      <w:r w:rsidRPr="00DD4D9D">
        <w:rPr>
          <w:rFonts w:ascii="Arial" w:eastAsia="Times New Roman" w:hAnsi="Arial" w:cs="Arial"/>
          <w:b/>
          <w:bCs/>
          <w:color w:val="2B2B2B"/>
          <w:sz w:val="28"/>
          <w:szCs w:val="28"/>
        </w:rPr>
        <w:t>What are some limitations of this dataset?</w:t>
      </w:r>
    </w:p>
    <w:p w14:paraId="786A4735" w14:textId="77777777" w:rsidR="00DD4D9D" w:rsidRPr="009C1E09" w:rsidRDefault="00DD4D9D" w:rsidP="009C1E09">
      <w:pPr>
        <w:jc w:val="both"/>
        <w:rPr>
          <w:rFonts w:ascii="Arial" w:eastAsia="Times New Roman" w:hAnsi="Arial" w:cs="Arial"/>
          <w:color w:val="2B2B2B"/>
          <w:sz w:val="28"/>
          <w:szCs w:val="28"/>
        </w:rPr>
      </w:pPr>
    </w:p>
    <w:p w14:paraId="66FDB663" w14:textId="78D5B582" w:rsidR="009C1E09" w:rsidRPr="00DD4D9D" w:rsidRDefault="00DD4D9D" w:rsidP="00DD4D9D">
      <w:pPr>
        <w:jc w:val="both"/>
        <w:rPr>
          <w:rFonts w:ascii="Arial" w:eastAsia="Times New Roman" w:hAnsi="Arial" w:cs="Arial"/>
          <w:color w:val="2B2B2B"/>
          <w:sz w:val="28"/>
          <w:szCs w:val="28"/>
        </w:rPr>
      </w:pPr>
      <w:r>
        <w:rPr>
          <w:rFonts w:ascii="Arial" w:eastAsia="Times New Roman" w:hAnsi="Arial" w:cs="Arial"/>
          <w:color w:val="2B2B2B"/>
          <w:sz w:val="28"/>
          <w:szCs w:val="28"/>
        </w:rPr>
        <w:t>1.</w:t>
      </w:r>
      <w:r w:rsidR="009C1E09" w:rsidRPr="00DD4D9D">
        <w:rPr>
          <w:rFonts w:ascii="Arial" w:eastAsia="Times New Roman" w:hAnsi="Arial" w:cs="Arial"/>
          <w:color w:val="2B2B2B"/>
          <w:sz w:val="28"/>
          <w:szCs w:val="28"/>
        </w:rPr>
        <w:t>Inadequate Coverage of Categories and Subcategories:</w:t>
      </w:r>
    </w:p>
    <w:p w14:paraId="61622780" w14:textId="75B96DD2" w:rsidR="00DD4D9D" w:rsidRPr="009C1E09" w:rsidRDefault="009C1E09" w:rsidP="009C1E09">
      <w:pPr>
        <w:jc w:val="both"/>
        <w:rPr>
          <w:rFonts w:ascii="Arial" w:eastAsia="Times New Roman" w:hAnsi="Arial" w:cs="Arial"/>
          <w:color w:val="2B2B2B"/>
          <w:sz w:val="28"/>
          <w:szCs w:val="28"/>
        </w:rPr>
      </w:pPr>
      <w:r w:rsidRPr="009C1E09">
        <w:rPr>
          <w:rFonts w:ascii="Arial" w:eastAsia="Times New Roman" w:hAnsi="Arial" w:cs="Arial"/>
          <w:color w:val="2B2B2B"/>
          <w:sz w:val="28"/>
          <w:szCs w:val="28"/>
        </w:rPr>
        <w:lastRenderedPageBreak/>
        <w:t>A notable limitation of this dataset lies in its insufficient size, which restricts its ability to encompass all potential categories or subcategories of interest to individuals. The dataset may not comprehensively represent the diverse range of crowdfunding projects that people might be involved in or interested in exploring.</w:t>
      </w:r>
    </w:p>
    <w:p w14:paraId="77081A2A" w14:textId="6ED43DA9" w:rsidR="009C1E09" w:rsidRPr="009C1E09" w:rsidRDefault="00DD4D9D" w:rsidP="009C1E09">
      <w:pPr>
        <w:jc w:val="both"/>
        <w:rPr>
          <w:rFonts w:ascii="Arial" w:eastAsia="Times New Roman" w:hAnsi="Arial" w:cs="Arial"/>
          <w:color w:val="2B2B2B"/>
          <w:sz w:val="28"/>
          <w:szCs w:val="28"/>
        </w:rPr>
      </w:pPr>
      <w:r>
        <w:rPr>
          <w:rFonts w:ascii="Arial" w:eastAsia="Times New Roman" w:hAnsi="Arial" w:cs="Arial"/>
          <w:color w:val="2B2B2B"/>
          <w:sz w:val="28"/>
          <w:szCs w:val="28"/>
        </w:rPr>
        <w:t>2.</w:t>
      </w:r>
      <w:r w:rsidR="009C1E09" w:rsidRPr="009C1E09">
        <w:rPr>
          <w:rFonts w:ascii="Arial" w:eastAsia="Times New Roman" w:hAnsi="Arial" w:cs="Arial"/>
          <w:color w:val="2B2B2B"/>
          <w:sz w:val="28"/>
          <w:szCs w:val="28"/>
        </w:rPr>
        <w:t>Lack of Information on Project Size Evolution:</w:t>
      </w:r>
    </w:p>
    <w:p w14:paraId="0CE0B991" w14:textId="77777777" w:rsidR="009C1E09" w:rsidRDefault="009C1E09" w:rsidP="009C1E09">
      <w:pPr>
        <w:jc w:val="both"/>
        <w:rPr>
          <w:rFonts w:ascii="Arial" w:eastAsia="Times New Roman" w:hAnsi="Arial" w:cs="Arial"/>
          <w:color w:val="2B2B2B"/>
          <w:sz w:val="28"/>
          <w:szCs w:val="28"/>
        </w:rPr>
      </w:pPr>
      <w:r w:rsidRPr="009C1E09">
        <w:rPr>
          <w:rFonts w:ascii="Arial" w:eastAsia="Times New Roman" w:hAnsi="Arial" w:cs="Arial"/>
          <w:color w:val="2B2B2B"/>
          <w:sz w:val="28"/>
          <w:szCs w:val="28"/>
        </w:rPr>
        <w:t>Another constraint is the absence of data illustrating how project sizes evolve over time. The dataset does not provide insights into the comparative growth or changes in scale that crowdfunding projects undergo. This limitation hinders a comprehensive understanding of the dynamics and trends in project sizes within the crowdfunding landscape.</w:t>
      </w:r>
    </w:p>
    <w:p w14:paraId="41CD4878" w14:textId="77777777" w:rsidR="00DD4D9D" w:rsidRPr="009C1E09" w:rsidRDefault="00DD4D9D" w:rsidP="009C1E09">
      <w:pPr>
        <w:jc w:val="both"/>
        <w:rPr>
          <w:rFonts w:ascii="Arial" w:eastAsia="Times New Roman" w:hAnsi="Arial" w:cs="Arial"/>
          <w:color w:val="2B2B2B"/>
          <w:sz w:val="28"/>
          <w:szCs w:val="28"/>
        </w:rPr>
      </w:pPr>
    </w:p>
    <w:p w14:paraId="243BB057" w14:textId="77777777" w:rsidR="009C1E09" w:rsidRPr="00DD4D9D" w:rsidRDefault="009C1E09" w:rsidP="009C1E09">
      <w:pPr>
        <w:jc w:val="both"/>
        <w:rPr>
          <w:rFonts w:ascii="Arial" w:eastAsia="Times New Roman" w:hAnsi="Arial" w:cs="Arial"/>
          <w:b/>
          <w:bCs/>
          <w:color w:val="2B2B2B"/>
          <w:sz w:val="28"/>
          <w:szCs w:val="28"/>
        </w:rPr>
      </w:pPr>
      <w:r w:rsidRPr="00DD4D9D">
        <w:rPr>
          <w:rFonts w:ascii="Arial" w:eastAsia="Times New Roman" w:hAnsi="Arial" w:cs="Arial"/>
          <w:b/>
          <w:bCs/>
          <w:color w:val="2B2B2B"/>
          <w:sz w:val="28"/>
          <w:szCs w:val="28"/>
        </w:rPr>
        <w:t>What are some other possible tables and/or graphs that we could create, and what additional value would they provide?</w:t>
      </w:r>
    </w:p>
    <w:p w14:paraId="20E8CA15" w14:textId="79193EEF" w:rsidR="009C1E09" w:rsidRPr="009C1E09" w:rsidRDefault="00DD4D9D" w:rsidP="009C1E09">
      <w:pPr>
        <w:jc w:val="both"/>
        <w:rPr>
          <w:rFonts w:ascii="Arial" w:eastAsia="Times New Roman" w:hAnsi="Arial" w:cs="Arial"/>
          <w:color w:val="2B2B2B"/>
          <w:sz w:val="28"/>
          <w:szCs w:val="28"/>
        </w:rPr>
      </w:pPr>
      <w:r>
        <w:rPr>
          <w:rFonts w:ascii="Arial" w:eastAsia="Times New Roman" w:hAnsi="Arial" w:cs="Arial"/>
          <w:color w:val="2B2B2B"/>
          <w:sz w:val="28"/>
          <w:szCs w:val="28"/>
        </w:rPr>
        <w:t>1.</w:t>
      </w:r>
      <w:r w:rsidR="009C1E09" w:rsidRPr="009C1E09">
        <w:rPr>
          <w:rFonts w:ascii="Arial" w:eastAsia="Times New Roman" w:hAnsi="Arial" w:cs="Arial"/>
          <w:color w:val="2B2B2B"/>
          <w:sz w:val="28"/>
          <w:szCs w:val="28"/>
        </w:rPr>
        <w:t>Pie Chart for Category Distribution:</w:t>
      </w:r>
    </w:p>
    <w:p w14:paraId="346A070D" w14:textId="48AFDD57" w:rsidR="009C1E09" w:rsidRPr="009C1E09" w:rsidRDefault="009C1E09" w:rsidP="009C1E09">
      <w:pPr>
        <w:jc w:val="both"/>
        <w:rPr>
          <w:rFonts w:ascii="Arial" w:eastAsia="Times New Roman" w:hAnsi="Arial" w:cs="Arial"/>
          <w:color w:val="2B2B2B"/>
          <w:sz w:val="28"/>
          <w:szCs w:val="28"/>
        </w:rPr>
      </w:pPr>
      <w:r w:rsidRPr="009C1E09">
        <w:rPr>
          <w:rFonts w:ascii="Arial" w:eastAsia="Times New Roman" w:hAnsi="Arial" w:cs="Arial"/>
          <w:color w:val="2B2B2B"/>
          <w:sz w:val="28"/>
          <w:szCs w:val="28"/>
        </w:rPr>
        <w:t>An alternative visualization method could involve the use of a pie chart to depict the distribution of crowdfunding campaigns across different categories or parent categories. This graphical representation would offer a concise and visually intuitive overview of the relative proportions of campaigns within each category. It provides a quick and accessible reference for stakeholders to understand the composition of crowdfunding initiatives, enabling a more informed analysis of the platform's diversity.</w:t>
      </w:r>
    </w:p>
    <w:p w14:paraId="629D437B" w14:textId="321D13AC" w:rsidR="009C1E09" w:rsidRPr="009C1E09" w:rsidRDefault="00DD4D9D" w:rsidP="009C1E09">
      <w:pPr>
        <w:jc w:val="both"/>
        <w:rPr>
          <w:rFonts w:ascii="Arial" w:eastAsia="Times New Roman" w:hAnsi="Arial" w:cs="Arial"/>
          <w:color w:val="2B2B2B"/>
          <w:sz w:val="28"/>
          <w:szCs w:val="28"/>
        </w:rPr>
      </w:pPr>
      <w:r>
        <w:rPr>
          <w:rFonts w:ascii="Arial" w:eastAsia="Times New Roman" w:hAnsi="Arial" w:cs="Arial"/>
          <w:color w:val="2B2B2B"/>
          <w:sz w:val="28"/>
          <w:szCs w:val="28"/>
        </w:rPr>
        <w:t>2.</w:t>
      </w:r>
      <w:r w:rsidR="009C1E09" w:rsidRPr="009C1E09">
        <w:rPr>
          <w:rFonts w:ascii="Arial" w:eastAsia="Times New Roman" w:hAnsi="Arial" w:cs="Arial"/>
          <w:color w:val="2B2B2B"/>
          <w:sz w:val="28"/>
          <w:szCs w:val="28"/>
        </w:rPr>
        <w:t>Scatterplot with Trendline for Campaign Trends:</w:t>
      </w:r>
    </w:p>
    <w:p w14:paraId="4632A3A5" w14:textId="77777777" w:rsidR="009C1E09" w:rsidRPr="009C1E09" w:rsidRDefault="009C1E09" w:rsidP="009C1E09">
      <w:pPr>
        <w:jc w:val="both"/>
        <w:rPr>
          <w:rFonts w:ascii="Arial" w:eastAsia="Times New Roman" w:hAnsi="Arial" w:cs="Arial"/>
          <w:color w:val="2B2B2B"/>
          <w:sz w:val="28"/>
          <w:szCs w:val="28"/>
        </w:rPr>
      </w:pPr>
      <w:r w:rsidRPr="009C1E09">
        <w:rPr>
          <w:rFonts w:ascii="Arial" w:eastAsia="Times New Roman" w:hAnsi="Arial" w:cs="Arial"/>
          <w:color w:val="2B2B2B"/>
          <w:sz w:val="28"/>
          <w:szCs w:val="28"/>
        </w:rPr>
        <w:t xml:space="preserve">Another valuable graphical representation could be achieved </w:t>
      </w:r>
      <w:proofErr w:type="gramStart"/>
      <w:r w:rsidRPr="009C1E09">
        <w:rPr>
          <w:rFonts w:ascii="Arial" w:eastAsia="Times New Roman" w:hAnsi="Arial" w:cs="Arial"/>
          <w:color w:val="2B2B2B"/>
          <w:sz w:val="28"/>
          <w:szCs w:val="28"/>
        </w:rPr>
        <w:t>through the use of</w:t>
      </w:r>
      <w:proofErr w:type="gramEnd"/>
      <w:r w:rsidRPr="009C1E09">
        <w:rPr>
          <w:rFonts w:ascii="Arial" w:eastAsia="Times New Roman" w:hAnsi="Arial" w:cs="Arial"/>
          <w:color w:val="2B2B2B"/>
          <w:sz w:val="28"/>
          <w:szCs w:val="28"/>
        </w:rPr>
        <w:t xml:space="preserve"> a scatterplot featuring a trendline. This approach allows for the visualization of trends in the success or failure of campaigns over time. By plotting individual data points and overlaying a trendline, stakeholders gain insights into the overall trajectory and patterns within the dataset. This method enhances the ability to identify correlations or tendencies in campaign outcomes, providing a more nuanced understanding of the dynamics shaping crowdfunding success rates.</w:t>
      </w:r>
    </w:p>
    <w:p w14:paraId="417821A8" w14:textId="77777777" w:rsidR="009C1E09" w:rsidRPr="00833D60" w:rsidRDefault="009C1E09" w:rsidP="009C1E09">
      <w:pPr>
        <w:jc w:val="both"/>
        <w:rPr>
          <w:rFonts w:ascii="Arial" w:hAnsi="Arial" w:cs="Arial"/>
          <w:sz w:val="28"/>
          <w:szCs w:val="28"/>
        </w:rPr>
      </w:pPr>
    </w:p>
    <w:p w14:paraId="7B781330" w14:textId="77777777" w:rsidR="00B43064" w:rsidRPr="009C1E09" w:rsidRDefault="00B43064" w:rsidP="009C1E09"/>
    <w:sectPr w:rsidR="00B43064" w:rsidRPr="009C1E09" w:rsidSect="0033176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E27C2" w14:textId="77777777" w:rsidR="00C73A6C" w:rsidRDefault="00C73A6C" w:rsidP="00C73A6C">
      <w:pPr>
        <w:spacing w:after="0" w:line="240" w:lineRule="auto"/>
      </w:pPr>
      <w:r>
        <w:separator/>
      </w:r>
    </w:p>
  </w:endnote>
  <w:endnote w:type="continuationSeparator" w:id="0">
    <w:p w14:paraId="3848AF39" w14:textId="77777777" w:rsidR="00C73A6C" w:rsidRDefault="00C73A6C" w:rsidP="00C7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458D2" w14:textId="77777777" w:rsidR="00C73A6C" w:rsidRDefault="00C73A6C" w:rsidP="00C73A6C">
      <w:pPr>
        <w:spacing w:after="0" w:line="240" w:lineRule="auto"/>
      </w:pPr>
      <w:r>
        <w:separator/>
      </w:r>
    </w:p>
  </w:footnote>
  <w:footnote w:type="continuationSeparator" w:id="0">
    <w:p w14:paraId="05612137" w14:textId="77777777" w:rsidR="00C73A6C" w:rsidRDefault="00C73A6C" w:rsidP="00C7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3B9B"/>
    <w:multiLevelType w:val="hybridMultilevel"/>
    <w:tmpl w:val="F806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35554"/>
    <w:multiLevelType w:val="multilevel"/>
    <w:tmpl w:val="681C7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44615"/>
    <w:multiLevelType w:val="multilevel"/>
    <w:tmpl w:val="B1DC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1225">
    <w:abstractNumId w:val="2"/>
  </w:num>
  <w:num w:numId="2" w16cid:durableId="2113358014">
    <w:abstractNumId w:val="1"/>
  </w:num>
  <w:num w:numId="3" w16cid:durableId="95180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6C"/>
    <w:rsid w:val="00331769"/>
    <w:rsid w:val="003B4DFC"/>
    <w:rsid w:val="004A2556"/>
    <w:rsid w:val="00833D60"/>
    <w:rsid w:val="009C1E09"/>
    <w:rsid w:val="00B43064"/>
    <w:rsid w:val="00B57F7C"/>
    <w:rsid w:val="00C73A6C"/>
    <w:rsid w:val="00DD4D9D"/>
    <w:rsid w:val="00DE77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B2F5E1"/>
  <w15:chartTrackingRefBased/>
  <w15:docId w15:val="{B922CF31-ED0B-3D48-8090-C8CFBC72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A6C"/>
    <w:pPr>
      <w:spacing w:after="160" w:line="259" w:lineRule="auto"/>
    </w:pPr>
    <w:rPr>
      <w:kern w:val="0"/>
      <w:sz w:val="22"/>
      <w:szCs w:val="2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A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A6C"/>
    <w:rPr>
      <w:kern w:val="0"/>
      <w:sz w:val="22"/>
      <w:szCs w:val="22"/>
      <w:lang w:val="en-US"/>
      <w14:ligatures w14:val="none"/>
    </w:rPr>
  </w:style>
  <w:style w:type="paragraph" w:styleId="Footer">
    <w:name w:val="footer"/>
    <w:basedOn w:val="Normal"/>
    <w:link w:val="FooterChar"/>
    <w:uiPriority w:val="99"/>
    <w:unhideWhenUsed/>
    <w:rsid w:val="00C7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A6C"/>
    <w:rPr>
      <w:kern w:val="0"/>
      <w:sz w:val="22"/>
      <w:szCs w:val="22"/>
      <w:lang w:val="en-US"/>
      <w14:ligatures w14:val="none"/>
    </w:rPr>
  </w:style>
  <w:style w:type="paragraph" w:styleId="ListParagraph">
    <w:name w:val="List Paragraph"/>
    <w:basedOn w:val="Normal"/>
    <w:uiPriority w:val="34"/>
    <w:qFormat/>
    <w:rsid w:val="00DD4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TAPLEEN LAMBA</dc:creator>
  <cp:keywords/>
  <dc:description/>
  <cp:lastModifiedBy>TAPLEEN LAMBA</cp:lastModifiedBy>
  <cp:revision>8</cp:revision>
  <dcterms:created xsi:type="dcterms:W3CDTF">2023-11-20T19:47:00Z</dcterms:created>
  <dcterms:modified xsi:type="dcterms:W3CDTF">2023-11-20T20:03:00Z</dcterms:modified>
</cp:coreProperties>
</file>