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EB" w:rsidRPr="00D25AEB" w:rsidRDefault="00F227CB" w:rsidP="00D25AEB">
      <w:pPr>
        <w:pStyle w:val="Heading1"/>
        <w:jc w:val="center"/>
        <w:rPr>
          <w:b/>
        </w:rPr>
      </w:pPr>
      <w:bookmarkStart w:id="0" w:name="_Toc486517038"/>
      <w:r>
        <w:rPr>
          <w:b/>
        </w:rPr>
        <w:t>Anomaly Detection – Unsupervised and Semi-Supervised Methods</w:t>
      </w:r>
    </w:p>
    <w:p w:rsidR="00063C1B" w:rsidRDefault="00CB4B6F" w:rsidP="006E36B9">
      <w:pPr>
        <w:pStyle w:val="Heading1"/>
        <w:rPr>
          <w:b/>
          <w:sz w:val="28"/>
          <w:szCs w:val="28"/>
        </w:rPr>
      </w:pPr>
      <w:r w:rsidRPr="002C20D4">
        <w:rPr>
          <w:b/>
          <w:sz w:val="28"/>
          <w:szCs w:val="28"/>
        </w:rPr>
        <w:t>P</w:t>
      </w:r>
      <w:r w:rsidR="006E36B9" w:rsidRPr="002C20D4">
        <w:rPr>
          <w:b/>
          <w:sz w:val="28"/>
          <w:szCs w:val="28"/>
        </w:rPr>
        <w:t>roblem Context and Description</w:t>
      </w:r>
      <w:bookmarkEnd w:id="0"/>
    </w:p>
    <w:p w:rsidR="00F227CB" w:rsidRPr="00F227CB" w:rsidRDefault="00F227CB" w:rsidP="00F227CB">
      <w:r w:rsidRPr="00F227CB">
        <w:t>Anomaly detection refers to the problem of ﬁnding patterns in data that do not conform to expected behavior</w:t>
      </w:r>
      <w:r>
        <w:t xml:space="preserve">. </w:t>
      </w:r>
      <w:r w:rsidRPr="00F227CB">
        <w:t>Anomaly detection ﬁnds extensive use in a wide variety of applications such as fraud detection for credit cards, insurance or health care, intrusion detection for cyber-security, fault detection in safety critical systems, and military surveillance for enemy activities</w:t>
      </w:r>
      <w:r>
        <w:t xml:space="preserve">. </w:t>
      </w:r>
      <w:r w:rsidRPr="00F227CB">
        <w:t>The importance of anomaly detection is due to the fact that anomalies in data translate to signiﬁcant (and often critical) actionable information in a wide variety of application domains.</w:t>
      </w:r>
    </w:p>
    <w:p w:rsidR="00F227CB" w:rsidRDefault="00F227CB">
      <w:r>
        <w:t>Although supervised techniques can be used to detect anomalies, a</w:t>
      </w:r>
      <w:r w:rsidRPr="00F227CB">
        <w:t>vailability of labeled data for training/validation of models is usually a major issue.</w:t>
      </w:r>
      <w:r w:rsidR="006B7FB6">
        <w:t xml:space="preserve"> </w:t>
      </w:r>
    </w:p>
    <w:p w:rsidR="00AA3262" w:rsidRDefault="006E36B9" w:rsidP="006E36B9">
      <w:pPr>
        <w:pStyle w:val="Heading1"/>
        <w:rPr>
          <w:b/>
          <w:sz w:val="28"/>
          <w:szCs w:val="28"/>
        </w:rPr>
      </w:pPr>
      <w:bookmarkStart w:id="1" w:name="_Toc486517039"/>
      <w:r w:rsidRPr="002C20D4">
        <w:rPr>
          <w:b/>
          <w:sz w:val="28"/>
          <w:szCs w:val="28"/>
        </w:rPr>
        <w:t>Dataset</w:t>
      </w:r>
      <w:r w:rsidR="000C07F4" w:rsidRPr="002C20D4">
        <w:rPr>
          <w:b/>
          <w:sz w:val="28"/>
          <w:szCs w:val="28"/>
        </w:rPr>
        <w:t xml:space="preserve"> Description</w:t>
      </w:r>
      <w:bookmarkEnd w:id="1"/>
    </w:p>
    <w:p w:rsidR="002A1CFB" w:rsidRDefault="002A1CFB" w:rsidP="006B7FB6">
      <w:pPr>
        <w:spacing w:after="0"/>
      </w:pPr>
      <w:r>
        <w:t xml:space="preserve">Data can be downloaded from: </w:t>
      </w:r>
      <w:hyperlink r:id="rId8" w:history="1">
        <w:r w:rsidR="006B7FB6" w:rsidRPr="00A4353B">
          <w:rPr>
            <w:rStyle w:val="Hyperlink"/>
          </w:rPr>
          <w:t>https://archive.ics.uci.edu/ml/datasets/Polish+companies+bankruptcy+data</w:t>
        </w:r>
      </w:hyperlink>
      <w:r w:rsidR="00114449">
        <w:t xml:space="preserve"> (1-</w:t>
      </w:r>
      <w:r w:rsidR="006B7FB6">
        <w:t>year data)</w:t>
      </w:r>
    </w:p>
    <w:p w:rsidR="007541B5" w:rsidRDefault="002A1CFB" w:rsidP="002A1CFB">
      <w:r>
        <w:t xml:space="preserve">The dataset </w:t>
      </w:r>
      <w:r w:rsidR="006B7FB6" w:rsidRPr="006B7FB6">
        <w:t>is about bankruptcy prediction of Polish companies</w:t>
      </w:r>
      <w:r w:rsidR="006B7FB6">
        <w:t xml:space="preserve">. </w:t>
      </w:r>
      <w:r w:rsidR="006B7FB6" w:rsidRPr="006B7FB6">
        <w:t>The data was collected from Emerging Markets Information Service (EMIS, </w:t>
      </w:r>
      <w:hyperlink r:id="rId9" w:history="1">
        <w:r w:rsidR="006B7FB6" w:rsidRPr="006B7FB6">
          <w:rPr>
            <w:rStyle w:val="Hyperlink"/>
          </w:rPr>
          <w:t>[Web Link]</w:t>
        </w:r>
      </w:hyperlink>
      <w:r w:rsidR="006B7FB6" w:rsidRPr="006B7FB6">
        <w:t>), which is a dat</w:t>
      </w:r>
      <w:r w:rsidR="006B7FB6">
        <w:t xml:space="preserve">abase containing information on </w:t>
      </w:r>
      <w:r w:rsidR="006B7FB6" w:rsidRPr="006B7FB6">
        <w:t>emerging markets around the world</w:t>
      </w:r>
      <w:r w:rsidR="006B7FB6">
        <w:t>. T</w:t>
      </w:r>
      <w:r w:rsidR="006B7FB6" w:rsidRPr="006B7FB6">
        <w:t>he data contains financial rates from 1st year of the forecasting period and corresponding class label that indicates bankruptcy status after 5 years. The data contains 7027 instances (financial statements), 271 represents bankrupted companies, 6756 firms that did not bankrupt in the forecasting period</w:t>
      </w:r>
      <w:r w:rsidR="006B7FB6">
        <w:t>.</w:t>
      </w:r>
      <w:r w:rsidR="002409E3">
        <w:t xml:space="preserve"> </w:t>
      </w:r>
      <w:r w:rsidR="00FC5209">
        <w:t xml:space="preserve">Each observation contains 64 features e.g. net profit / total assets, </w:t>
      </w:r>
      <w:r w:rsidR="00FC5209" w:rsidRPr="00FC5209">
        <w:t>total liabilities</w:t>
      </w:r>
      <w:r w:rsidR="00FC5209">
        <w:t xml:space="preserve"> / total assets, working capital / total assets, </w:t>
      </w:r>
      <w:r w:rsidR="00FC5209" w:rsidRPr="00FC5209">
        <w:t>current assets / short-term liabilities</w:t>
      </w:r>
      <w:r w:rsidR="00FC5209">
        <w:t>,</w:t>
      </w:r>
      <w:r w:rsidR="00FC5209" w:rsidRPr="00FC5209">
        <w:t> </w:t>
      </w:r>
      <w:r w:rsidR="00FC5209">
        <w:t>etc.</w:t>
      </w:r>
    </w:p>
    <w:p w:rsidR="00CE162F" w:rsidRPr="002C20D4" w:rsidRDefault="00F33CE1" w:rsidP="00CE162F"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t>Exploratory Data Analysis</w:t>
      </w:r>
      <w:r w:rsidR="00CE162F">
        <w:rPr>
          <w:b/>
          <w:sz w:val="28"/>
          <w:szCs w:val="28"/>
        </w:rPr>
        <w:t xml:space="preserve"> </w:t>
      </w:r>
    </w:p>
    <w:p w:rsidR="00CE162F" w:rsidRDefault="00CE162F" w:rsidP="002A1CFB"/>
    <w:p w:rsidR="00CE162F" w:rsidRDefault="00F33CE1" w:rsidP="002A1CFB">
      <w:r>
        <w:rPr>
          <w:noProof/>
        </w:rPr>
        <w:drawing>
          <wp:inline distT="0" distB="0" distL="0" distR="0">
            <wp:extent cx="5943600" cy="2964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2F" w:rsidRDefault="000D6B15" w:rsidP="002A1CFB">
      <w:r>
        <w:lastRenderedPageBreak/>
        <w:t>We can observe that</w:t>
      </w:r>
    </w:p>
    <w:p w:rsidR="00F33CE1" w:rsidRPr="00F33CE1" w:rsidRDefault="00F33CE1" w:rsidP="00F33CE1">
      <w:pPr>
        <w:numPr>
          <w:ilvl w:val="0"/>
          <w:numId w:val="6"/>
        </w:numPr>
      </w:pPr>
      <w:r w:rsidRPr="00F33CE1">
        <w:t>Centroid-base</w:t>
      </w:r>
      <w:r>
        <w:t>d clustering won't work as anoma</w:t>
      </w:r>
      <w:r w:rsidRPr="00F33CE1">
        <w:t>lous instances do not form a 'spherical' cluster</w:t>
      </w:r>
    </w:p>
    <w:p w:rsidR="00F33CE1" w:rsidRPr="00F33CE1" w:rsidRDefault="00F33CE1" w:rsidP="00F33CE1">
      <w:pPr>
        <w:numPr>
          <w:ilvl w:val="0"/>
          <w:numId w:val="6"/>
        </w:numPr>
      </w:pPr>
      <w:r w:rsidRPr="00F33CE1">
        <w:t>Density-base</w:t>
      </w:r>
      <w:r>
        <w:t>d clustering might work as anoma</w:t>
      </w:r>
      <w:r w:rsidRPr="00F33CE1">
        <w:t>lous instances form clusters of arbitrary shape. However, it might not be the best way of identify</w:t>
      </w:r>
      <w:r>
        <w:t xml:space="preserve">ing outliers as </w:t>
      </w:r>
      <w:r w:rsidR="00750A63" w:rsidRPr="00F33CE1">
        <w:t xml:space="preserve">densities </w:t>
      </w:r>
      <w:r w:rsidR="00750A63">
        <w:t xml:space="preserve">of </w:t>
      </w:r>
      <w:bookmarkStart w:id="2" w:name="_GoBack"/>
      <w:bookmarkEnd w:id="2"/>
      <w:r>
        <w:t>normal and anoma</w:t>
      </w:r>
      <w:r w:rsidRPr="00F33CE1">
        <w:t>lous instances overlap considerably.</w:t>
      </w:r>
    </w:p>
    <w:p w:rsidR="00F33CE1" w:rsidRPr="00F33CE1" w:rsidRDefault="00F33CE1" w:rsidP="00F33CE1">
      <w:pPr>
        <w:numPr>
          <w:ilvl w:val="0"/>
          <w:numId w:val="6"/>
        </w:numPr>
      </w:pPr>
      <w:r w:rsidRPr="00F33CE1">
        <w:t>OneClassSVM, a semi-supervised technique, may be a better alternative, as it is immune to distribution of data</w:t>
      </w:r>
    </w:p>
    <w:p w:rsidR="00F33CE1" w:rsidRDefault="00F33CE1" w:rsidP="002A1CFB"/>
    <w:p w:rsidR="000C0623" w:rsidRDefault="00DE40DF" w:rsidP="000C0623">
      <w:pPr>
        <w:pStyle w:val="Heading1"/>
        <w:rPr>
          <w:b/>
          <w:sz w:val="28"/>
          <w:szCs w:val="28"/>
        </w:rPr>
      </w:pPr>
      <w:bookmarkStart w:id="3" w:name="_Hlk489483739"/>
      <w:r>
        <w:rPr>
          <w:b/>
          <w:sz w:val="28"/>
          <w:szCs w:val="28"/>
        </w:rPr>
        <w:t xml:space="preserve">DBSCAN: Confusion Matrix and </w:t>
      </w:r>
      <w:r>
        <w:rPr>
          <w:b/>
          <w:sz w:val="28"/>
          <w:szCs w:val="28"/>
        </w:rPr>
        <w:t>Precision-Recall Curve</w:t>
      </w:r>
      <w:r>
        <w:rPr>
          <w:b/>
          <w:sz w:val="28"/>
          <w:szCs w:val="28"/>
        </w:rPr>
        <w:t xml:space="preserve"> </w:t>
      </w:r>
    </w:p>
    <w:bookmarkEnd w:id="3"/>
    <w:p w:rsidR="00084586" w:rsidRDefault="00084586" w:rsidP="00084586"/>
    <w:p w:rsidR="00084586" w:rsidRPr="00084586" w:rsidRDefault="00DE40DF" w:rsidP="00084586">
      <w:r>
        <w:rPr>
          <w:noProof/>
        </w:rPr>
        <w:drawing>
          <wp:inline distT="0" distB="0" distL="0" distR="0">
            <wp:extent cx="1707028" cy="5715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SCAN_C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DF" w:rsidRDefault="00DE40DF" w:rsidP="000D6B15">
      <w:bookmarkStart w:id="4" w:name="_Hlk488949576"/>
      <w:r>
        <w:rPr>
          <w:noProof/>
        </w:rPr>
        <w:drawing>
          <wp:inline distT="0" distB="0" distL="0" distR="0">
            <wp:extent cx="4282811" cy="288823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SCAN_P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DF" w:rsidRDefault="00DE40DF" w:rsidP="000D6B15"/>
    <w:p w:rsidR="00DE40DF" w:rsidRDefault="00DE40DF" w:rsidP="000D6B15"/>
    <w:p w:rsidR="00DE40DF" w:rsidRDefault="00DE40DF" w:rsidP="000D6B15"/>
    <w:p w:rsidR="00DE40DF" w:rsidRDefault="00DE40DF" w:rsidP="000D6B15"/>
    <w:p w:rsidR="00DE40DF" w:rsidRDefault="00DE40DF" w:rsidP="000D6B15"/>
    <w:p w:rsidR="00DE40DF" w:rsidRDefault="00DE40DF" w:rsidP="000D6B15"/>
    <w:p w:rsidR="00DE40DF" w:rsidRDefault="00DE40DF" w:rsidP="000D6B15"/>
    <w:bookmarkEnd w:id="4"/>
    <w:p w:rsidR="00DE40DF" w:rsidRDefault="00DE40DF" w:rsidP="00DE40DF"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OneClassSVM</w:t>
      </w:r>
      <w:r>
        <w:rPr>
          <w:b/>
          <w:sz w:val="28"/>
          <w:szCs w:val="28"/>
        </w:rPr>
        <w:t xml:space="preserve">: Confusion Matrix and Precision-Recall Curve </w:t>
      </w:r>
    </w:p>
    <w:p w:rsidR="00CE162F" w:rsidRDefault="00CE162F" w:rsidP="002A1CFB"/>
    <w:p w:rsidR="00CE162F" w:rsidRDefault="00CE4A14" w:rsidP="002A1CFB">
      <w:r>
        <w:rPr>
          <w:noProof/>
        </w:rPr>
        <w:drawing>
          <wp:inline distT="0" distB="0" distL="0" distR="0">
            <wp:extent cx="1828958" cy="60203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VM_C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2F" w:rsidRDefault="00CE162F" w:rsidP="002A1CFB"/>
    <w:p w:rsidR="00CE162F" w:rsidRDefault="00CE4A14" w:rsidP="002A1CFB">
      <w:r>
        <w:rPr>
          <w:noProof/>
        </w:rPr>
        <w:drawing>
          <wp:inline distT="0" distB="0" distL="0" distR="0">
            <wp:extent cx="4046571" cy="28577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VM_P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5D" w:rsidRDefault="00DD065D" w:rsidP="002A1CFB"/>
    <w:p w:rsidR="00DD065D" w:rsidRDefault="00FC3D85" w:rsidP="002A1CFB">
      <w:r>
        <w:t>We can</w:t>
      </w:r>
      <w:r w:rsidR="00EA55C9">
        <w:t xml:space="preserve"> </w:t>
      </w:r>
      <w:r w:rsidR="000D5CEA">
        <w:t xml:space="preserve">observe from the </w:t>
      </w:r>
      <w:r w:rsidR="00CE4A14">
        <w:t xml:space="preserve">true positive metric and </w:t>
      </w:r>
      <w:r w:rsidR="000D5CEA">
        <w:t xml:space="preserve">precision-recall curve that </w:t>
      </w:r>
      <w:r w:rsidR="00CE4A14">
        <w:t>oneClassSVM</w:t>
      </w:r>
      <w:r w:rsidR="000D5CEA">
        <w:t xml:space="preserve"> perform</w:t>
      </w:r>
      <w:r w:rsidR="00CE4A14">
        <w:t>s</w:t>
      </w:r>
      <w:r w:rsidR="000D5CEA">
        <w:t xml:space="preserve"> better than</w:t>
      </w:r>
      <w:r w:rsidR="00CE4A14">
        <w:t xml:space="preserve"> DBSCAN</w:t>
      </w:r>
      <w:r w:rsidR="000D5CEA">
        <w:t>.</w:t>
      </w:r>
    </w:p>
    <w:p w:rsidR="00DD065D" w:rsidRDefault="00DD065D" w:rsidP="002A1CFB"/>
    <w:p w:rsidR="00DD065D" w:rsidRDefault="00DD065D" w:rsidP="002A1CFB"/>
    <w:p w:rsidR="00DD065D" w:rsidRDefault="00DD065D" w:rsidP="002A1CFB"/>
    <w:p w:rsidR="00DD065D" w:rsidRDefault="00DD065D" w:rsidP="002A1CFB"/>
    <w:p w:rsidR="00DD065D" w:rsidRDefault="00DD065D" w:rsidP="002A1CFB"/>
    <w:p w:rsidR="00DD065D" w:rsidRDefault="00DD065D" w:rsidP="002A1CFB"/>
    <w:p w:rsidR="00635726" w:rsidRDefault="00635726" w:rsidP="000B2C1C"/>
    <w:sectPr w:rsidR="0063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885" w:rsidRDefault="00986885" w:rsidP="002C2287">
      <w:pPr>
        <w:spacing w:after="0" w:line="240" w:lineRule="auto"/>
      </w:pPr>
      <w:r>
        <w:separator/>
      </w:r>
    </w:p>
  </w:endnote>
  <w:endnote w:type="continuationSeparator" w:id="0">
    <w:p w:rsidR="00986885" w:rsidRDefault="00986885" w:rsidP="002C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885" w:rsidRDefault="00986885" w:rsidP="002C2287">
      <w:pPr>
        <w:spacing w:after="0" w:line="240" w:lineRule="auto"/>
      </w:pPr>
      <w:r>
        <w:separator/>
      </w:r>
    </w:p>
  </w:footnote>
  <w:footnote w:type="continuationSeparator" w:id="0">
    <w:p w:rsidR="00986885" w:rsidRDefault="00986885" w:rsidP="002C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637C"/>
    <w:multiLevelType w:val="multilevel"/>
    <w:tmpl w:val="9E16346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E45196"/>
    <w:multiLevelType w:val="multilevel"/>
    <w:tmpl w:val="3D7C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C8698D"/>
    <w:multiLevelType w:val="hybridMultilevel"/>
    <w:tmpl w:val="2F36B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DF1667"/>
    <w:multiLevelType w:val="hybridMultilevel"/>
    <w:tmpl w:val="5DA05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C453F4"/>
    <w:multiLevelType w:val="hybridMultilevel"/>
    <w:tmpl w:val="0BF65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D376B5"/>
    <w:multiLevelType w:val="hybridMultilevel"/>
    <w:tmpl w:val="15B4E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52"/>
    <w:rsid w:val="00006BA2"/>
    <w:rsid w:val="000358BE"/>
    <w:rsid w:val="00063C1B"/>
    <w:rsid w:val="00074046"/>
    <w:rsid w:val="00084586"/>
    <w:rsid w:val="000A53EC"/>
    <w:rsid w:val="000B2C1C"/>
    <w:rsid w:val="000C0623"/>
    <w:rsid w:val="000C07F4"/>
    <w:rsid w:val="000D5CEA"/>
    <w:rsid w:val="000D6B15"/>
    <w:rsid w:val="00114449"/>
    <w:rsid w:val="00122469"/>
    <w:rsid w:val="001262C9"/>
    <w:rsid w:val="0012713D"/>
    <w:rsid w:val="00142CC9"/>
    <w:rsid w:val="001D7305"/>
    <w:rsid w:val="001E2668"/>
    <w:rsid w:val="001F29E0"/>
    <w:rsid w:val="001F4CA1"/>
    <w:rsid w:val="00205DDF"/>
    <w:rsid w:val="002409E3"/>
    <w:rsid w:val="00245670"/>
    <w:rsid w:val="00260437"/>
    <w:rsid w:val="00280310"/>
    <w:rsid w:val="00291D09"/>
    <w:rsid w:val="002A1CFB"/>
    <w:rsid w:val="002A630F"/>
    <w:rsid w:val="002B2BB9"/>
    <w:rsid w:val="002C20D4"/>
    <w:rsid w:val="002C2287"/>
    <w:rsid w:val="002C3680"/>
    <w:rsid w:val="002F39F8"/>
    <w:rsid w:val="00326567"/>
    <w:rsid w:val="004025C4"/>
    <w:rsid w:val="00410DFD"/>
    <w:rsid w:val="004131C5"/>
    <w:rsid w:val="00416AB0"/>
    <w:rsid w:val="00431902"/>
    <w:rsid w:val="004446D0"/>
    <w:rsid w:val="00466513"/>
    <w:rsid w:val="004773FB"/>
    <w:rsid w:val="00482E6C"/>
    <w:rsid w:val="004A0DE8"/>
    <w:rsid w:val="00503A75"/>
    <w:rsid w:val="00575555"/>
    <w:rsid w:val="0058589B"/>
    <w:rsid w:val="005903B5"/>
    <w:rsid w:val="005A2C99"/>
    <w:rsid w:val="005E0BCD"/>
    <w:rsid w:val="005E1AAA"/>
    <w:rsid w:val="006124D8"/>
    <w:rsid w:val="00630A3C"/>
    <w:rsid w:val="00635726"/>
    <w:rsid w:val="00683BDB"/>
    <w:rsid w:val="0068730A"/>
    <w:rsid w:val="006B7FB6"/>
    <w:rsid w:val="006E36B9"/>
    <w:rsid w:val="00713054"/>
    <w:rsid w:val="00735B64"/>
    <w:rsid w:val="00742B6A"/>
    <w:rsid w:val="00750A63"/>
    <w:rsid w:val="007541B5"/>
    <w:rsid w:val="007C6907"/>
    <w:rsid w:val="007E17BC"/>
    <w:rsid w:val="007E5D25"/>
    <w:rsid w:val="00845FE8"/>
    <w:rsid w:val="00857FA9"/>
    <w:rsid w:val="00886FF7"/>
    <w:rsid w:val="008E4355"/>
    <w:rsid w:val="008E5849"/>
    <w:rsid w:val="00901E08"/>
    <w:rsid w:val="00916DB8"/>
    <w:rsid w:val="00917B63"/>
    <w:rsid w:val="009345D5"/>
    <w:rsid w:val="009418EB"/>
    <w:rsid w:val="00964D72"/>
    <w:rsid w:val="00986885"/>
    <w:rsid w:val="009C09E9"/>
    <w:rsid w:val="009F0D7C"/>
    <w:rsid w:val="00A159F8"/>
    <w:rsid w:val="00A80A69"/>
    <w:rsid w:val="00A94F2A"/>
    <w:rsid w:val="00AA069E"/>
    <w:rsid w:val="00AA0950"/>
    <w:rsid w:val="00AA3262"/>
    <w:rsid w:val="00AF35EC"/>
    <w:rsid w:val="00AF5E5B"/>
    <w:rsid w:val="00B05A0F"/>
    <w:rsid w:val="00B22CDF"/>
    <w:rsid w:val="00B3259C"/>
    <w:rsid w:val="00B4617F"/>
    <w:rsid w:val="00B52609"/>
    <w:rsid w:val="00B74160"/>
    <w:rsid w:val="00BB6301"/>
    <w:rsid w:val="00BD67AC"/>
    <w:rsid w:val="00C10987"/>
    <w:rsid w:val="00C150B1"/>
    <w:rsid w:val="00C27D52"/>
    <w:rsid w:val="00C415C5"/>
    <w:rsid w:val="00CB4B6F"/>
    <w:rsid w:val="00CD217B"/>
    <w:rsid w:val="00CD287B"/>
    <w:rsid w:val="00CE162F"/>
    <w:rsid w:val="00CE4A14"/>
    <w:rsid w:val="00D03C08"/>
    <w:rsid w:val="00D25AEB"/>
    <w:rsid w:val="00D40735"/>
    <w:rsid w:val="00D522F3"/>
    <w:rsid w:val="00D53027"/>
    <w:rsid w:val="00D83592"/>
    <w:rsid w:val="00D936E6"/>
    <w:rsid w:val="00DB68EF"/>
    <w:rsid w:val="00DC373A"/>
    <w:rsid w:val="00DD065D"/>
    <w:rsid w:val="00DD59A3"/>
    <w:rsid w:val="00DE40DF"/>
    <w:rsid w:val="00E22163"/>
    <w:rsid w:val="00E24B00"/>
    <w:rsid w:val="00E50701"/>
    <w:rsid w:val="00E62E87"/>
    <w:rsid w:val="00E656E9"/>
    <w:rsid w:val="00E66740"/>
    <w:rsid w:val="00EA55C9"/>
    <w:rsid w:val="00EA5FE3"/>
    <w:rsid w:val="00EB4AAA"/>
    <w:rsid w:val="00EC46F3"/>
    <w:rsid w:val="00F16F0F"/>
    <w:rsid w:val="00F227CB"/>
    <w:rsid w:val="00F33CE1"/>
    <w:rsid w:val="00F610D4"/>
    <w:rsid w:val="00FA61CA"/>
    <w:rsid w:val="00FB00C8"/>
    <w:rsid w:val="00FB3B08"/>
    <w:rsid w:val="00FB6EEF"/>
    <w:rsid w:val="00FB7851"/>
    <w:rsid w:val="00FC10AD"/>
    <w:rsid w:val="00FC3D85"/>
    <w:rsid w:val="00FC5209"/>
    <w:rsid w:val="00FF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498D"/>
  <w15:chartTrackingRefBased/>
  <w15:docId w15:val="{7CEE920C-45BE-4C57-A7B0-AF37EB7E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3B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3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07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07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07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287"/>
  </w:style>
  <w:style w:type="paragraph" w:styleId="Footer">
    <w:name w:val="footer"/>
    <w:basedOn w:val="Normal"/>
    <w:link w:val="FooterChar"/>
    <w:uiPriority w:val="99"/>
    <w:unhideWhenUsed/>
    <w:rsid w:val="002C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287"/>
  </w:style>
  <w:style w:type="character" w:customStyle="1" w:styleId="Heading2Char">
    <w:name w:val="Heading 2 Char"/>
    <w:basedOn w:val="DefaultParagraphFont"/>
    <w:link w:val="Heading2"/>
    <w:uiPriority w:val="9"/>
    <w:rsid w:val="00127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B7F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Polish+companies+bankruptcy+data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ecurities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2065B-FF6E-471F-9140-51CB7E9D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Anand</dc:creator>
  <cp:keywords/>
  <dc:description/>
  <cp:lastModifiedBy>Prateek Anand</cp:lastModifiedBy>
  <cp:revision>137</cp:revision>
  <dcterms:created xsi:type="dcterms:W3CDTF">2017-06-28T22:16:00Z</dcterms:created>
  <dcterms:modified xsi:type="dcterms:W3CDTF">2017-08-03T04:41:00Z</dcterms:modified>
</cp:coreProperties>
</file>