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7CB81" w14:textId="5DF61892" w:rsidR="009A4C8B" w:rsidRDefault="3FEAB06A" w:rsidP="62988B77">
      <w:pPr>
        <w:pStyle w:val="Heading1"/>
        <w:spacing w:before="0" w:after="0"/>
      </w:pPr>
      <w:r w:rsidRPr="62988B77">
        <w:rPr>
          <w:rFonts w:ascii="Aptos" w:eastAsia="Aptos" w:hAnsi="Aptos" w:cs="Aptos"/>
          <w:b/>
          <w:bCs/>
          <w:color w:val="1F1F1F"/>
          <w:sz w:val="48"/>
          <w:szCs w:val="48"/>
        </w:rPr>
        <w:t>CONFIDENTIAL SERVICE AGREEMENT: PROJECT DELTA</w:t>
      </w:r>
    </w:p>
    <w:p w14:paraId="23A70144" w14:textId="78CDFE37" w:rsidR="009A4C8B" w:rsidRDefault="3FEAB06A" w:rsidP="62988B77">
      <w:pPr>
        <w:spacing w:after="240"/>
      </w:pPr>
      <w:r w:rsidRPr="62988B77">
        <w:rPr>
          <w:rFonts w:ascii="Aptos" w:eastAsia="Aptos" w:hAnsi="Aptos" w:cs="Aptos"/>
          <w:b/>
          <w:bCs/>
          <w:color w:val="1F1F1F"/>
        </w:rPr>
        <w:t>Document ID:</w:t>
      </w:r>
      <w:r w:rsidRPr="62988B77">
        <w:rPr>
          <w:rFonts w:ascii="Aptos" w:eastAsia="Aptos" w:hAnsi="Aptos" w:cs="Aptos"/>
          <w:color w:val="1F1F1F"/>
        </w:rPr>
        <w:t xml:space="preserve"> SEC-9920-X | </w:t>
      </w:r>
      <w:r w:rsidRPr="62988B77">
        <w:rPr>
          <w:rFonts w:ascii="Aptos" w:eastAsia="Aptos" w:hAnsi="Aptos" w:cs="Aptos"/>
          <w:b/>
          <w:bCs/>
          <w:color w:val="1F1F1F"/>
        </w:rPr>
        <w:t>Date:</w:t>
      </w:r>
      <w:r w:rsidRPr="62988B77">
        <w:rPr>
          <w:rFonts w:ascii="Aptos" w:eastAsia="Aptos" w:hAnsi="Aptos" w:cs="Aptos"/>
          <w:color w:val="1F1F1F"/>
        </w:rPr>
        <w:t xml:space="preserve"> February 12, 2026</w:t>
      </w:r>
    </w:p>
    <w:p w14:paraId="33A6AA84" w14:textId="4E34BA62" w:rsidR="009A4C8B" w:rsidRDefault="3FEAB06A" w:rsidP="62988B77">
      <w:pPr>
        <w:pStyle w:val="Heading3"/>
        <w:spacing w:before="0" w:after="120"/>
      </w:pPr>
      <w:r w:rsidRPr="62988B77">
        <w:rPr>
          <w:rFonts w:ascii="Aptos" w:eastAsia="Aptos" w:hAnsi="Aptos" w:cs="Aptos"/>
          <w:b/>
          <w:bCs/>
          <w:color w:val="1F1F1F"/>
        </w:rPr>
        <w:t>1. PARTIES INVOLVED</w:t>
      </w:r>
    </w:p>
    <w:p w14:paraId="723FCC82" w14:textId="1B6B769B" w:rsidR="009A4C8B" w:rsidRDefault="3FEAB06A" w:rsidP="62988B77">
      <w:pPr>
        <w:spacing w:after="240"/>
      </w:pPr>
      <w:r w:rsidRPr="62988B77">
        <w:rPr>
          <w:rFonts w:ascii="Aptos" w:eastAsia="Aptos" w:hAnsi="Aptos" w:cs="Aptos"/>
          <w:color w:val="1F1F1F"/>
        </w:rPr>
        <w:t>This agreement is entered into by and between the following parties:</w:t>
      </w:r>
    </w:p>
    <w:p w14:paraId="4FBB7593" w14:textId="16C2ABF1" w:rsidR="009A4C8B" w:rsidRDefault="3FEAB06A" w:rsidP="62988B77">
      <w:pPr>
        <w:spacing w:after="240"/>
      </w:pPr>
      <w:r w:rsidRPr="62988B77">
        <w:rPr>
          <w:rFonts w:ascii="Aptos" w:eastAsia="Aptos" w:hAnsi="Aptos" w:cs="Aptos"/>
          <w:b/>
          <w:bCs/>
          <w:color w:val="1F1F1F"/>
        </w:rPr>
        <w:t>THE CONSULTANT:</w:t>
      </w:r>
      <w:r w:rsidRPr="62988B77">
        <w:rPr>
          <w:rFonts w:ascii="Aptos" w:eastAsia="Aptos" w:hAnsi="Aptos" w:cs="Aptos"/>
          <w:color w:val="1F1F1F"/>
        </w:rPr>
        <w:t xml:space="preserve"> </w:t>
      </w:r>
      <w:r w:rsidRPr="62988B77">
        <w:rPr>
          <w:rFonts w:ascii="Aptos" w:eastAsia="Aptos" w:hAnsi="Aptos" w:cs="Aptos"/>
          <w:b/>
          <w:bCs/>
          <w:color w:val="1F1F1F"/>
        </w:rPr>
        <w:t>Jiří Novák</w:t>
      </w:r>
      <w:r w:rsidRPr="62988B77">
        <w:rPr>
          <w:rFonts w:ascii="Aptos" w:eastAsia="Aptos" w:hAnsi="Aptos" w:cs="Aptos"/>
          <w:color w:val="1F1F1F"/>
        </w:rPr>
        <w:t xml:space="preserve">, an individual residing at </w:t>
      </w:r>
      <w:r w:rsidRPr="62988B77">
        <w:rPr>
          <w:rFonts w:ascii="Aptos" w:eastAsia="Aptos" w:hAnsi="Aptos" w:cs="Aptos"/>
          <w:b/>
          <w:bCs/>
          <w:color w:val="1F1F1F"/>
        </w:rPr>
        <w:t>Václavské náměstí 1, 110 00 Praha 1, Czech Republic</w:t>
      </w:r>
      <w:r w:rsidRPr="62988B77">
        <w:rPr>
          <w:rFonts w:ascii="Aptos" w:eastAsia="Aptos" w:hAnsi="Aptos" w:cs="Aptos"/>
          <w:color w:val="1F1F1F"/>
        </w:rPr>
        <w:t>.</w:t>
      </w:r>
    </w:p>
    <w:p w14:paraId="3C680B91" w14:textId="0502E4CA" w:rsidR="009A4C8B" w:rsidRDefault="3FEAB06A" w:rsidP="62988B77">
      <w:pPr>
        <w:spacing w:after="240"/>
      </w:pPr>
      <w:r w:rsidRPr="62988B77">
        <w:rPr>
          <w:rFonts w:ascii="Aptos" w:eastAsia="Aptos" w:hAnsi="Aptos" w:cs="Aptos"/>
          <w:i/>
          <w:iCs/>
          <w:color w:val="1F1F1F"/>
        </w:rPr>
        <w:t>Contact Details:</w:t>
      </w:r>
      <w:r w:rsidRPr="62988B77">
        <w:rPr>
          <w:rFonts w:ascii="Aptos" w:eastAsia="Aptos" w:hAnsi="Aptos" w:cs="Aptos"/>
          <w:color w:val="1F1F1F"/>
        </w:rPr>
        <w:t xml:space="preserve"> </w:t>
      </w:r>
      <w:hyperlink r:id="rId5">
        <w:r w:rsidRPr="62988B77">
          <w:rPr>
            <w:rStyle w:val="Hyperlink"/>
            <w:rFonts w:ascii="Aptos" w:eastAsia="Aptos" w:hAnsi="Aptos" w:cs="Aptos"/>
          </w:rPr>
          <w:t>jiri.novak.freelance@gmail.com</w:t>
        </w:r>
      </w:hyperlink>
      <w:r w:rsidRPr="62988B77">
        <w:rPr>
          <w:rFonts w:ascii="Aptos" w:eastAsia="Aptos" w:hAnsi="Aptos" w:cs="Aptos"/>
          <w:color w:val="1F1F1F"/>
        </w:rPr>
        <w:t xml:space="preserve"> | +420 777 123 456</w:t>
      </w:r>
    </w:p>
    <w:p w14:paraId="6DA821D3" w14:textId="25D30608" w:rsidR="009A4C8B" w:rsidRDefault="3FEAB06A" w:rsidP="62988B77">
      <w:pPr>
        <w:spacing w:after="240"/>
      </w:pPr>
      <w:r w:rsidRPr="62988B77">
        <w:rPr>
          <w:rFonts w:ascii="Aptos" w:eastAsia="Aptos" w:hAnsi="Aptos" w:cs="Aptos"/>
          <w:b/>
          <w:bCs/>
          <w:color w:val="1F1F1F"/>
        </w:rPr>
        <w:t>THE CLIENT:</w:t>
      </w:r>
    </w:p>
    <w:p w14:paraId="0A8A2D62" w14:textId="602C8C6C" w:rsidR="009A4C8B" w:rsidRDefault="3FEAB06A" w:rsidP="62988B77">
      <w:pPr>
        <w:spacing w:after="240"/>
      </w:pPr>
      <w:r w:rsidRPr="62988B77">
        <w:rPr>
          <w:rFonts w:ascii="Aptos" w:eastAsia="Aptos" w:hAnsi="Aptos" w:cs="Aptos"/>
          <w:b/>
          <w:bCs/>
          <w:color w:val="1F1F1F"/>
        </w:rPr>
        <w:t>Acme Global Solutions S.R.O.</w:t>
      </w:r>
      <w:r w:rsidRPr="62988B77">
        <w:rPr>
          <w:rFonts w:ascii="Aptos" w:eastAsia="Aptos" w:hAnsi="Aptos" w:cs="Aptos"/>
          <w:color w:val="1F1F1F"/>
        </w:rPr>
        <w:t xml:space="preserve">, represented by its CEO, </w:t>
      </w:r>
      <w:r w:rsidRPr="62988B77">
        <w:rPr>
          <w:rFonts w:ascii="Aptos" w:eastAsia="Aptos" w:hAnsi="Aptos" w:cs="Aptos"/>
          <w:b/>
          <w:bCs/>
          <w:color w:val="1F1F1F"/>
        </w:rPr>
        <w:t>Alice Vondráčková</w:t>
      </w:r>
      <w:r w:rsidRPr="62988B77">
        <w:rPr>
          <w:rFonts w:ascii="Aptos" w:eastAsia="Aptos" w:hAnsi="Aptos" w:cs="Aptos"/>
          <w:color w:val="1F1F1F"/>
        </w:rPr>
        <w:t xml:space="preserve">. The company headquarters is located at </w:t>
      </w:r>
      <w:r w:rsidRPr="62988B77">
        <w:rPr>
          <w:rFonts w:ascii="Aptos" w:eastAsia="Aptos" w:hAnsi="Aptos" w:cs="Aptos"/>
          <w:b/>
          <w:bCs/>
          <w:color w:val="1F1F1F"/>
        </w:rPr>
        <w:t>Budějovická 12, 140 00 Prague 4</w:t>
      </w:r>
      <w:r w:rsidRPr="62988B77">
        <w:rPr>
          <w:rFonts w:ascii="Aptos" w:eastAsia="Aptos" w:hAnsi="Aptos" w:cs="Aptos"/>
          <w:color w:val="1F1F1F"/>
        </w:rPr>
        <w:t>.</w:t>
      </w:r>
    </w:p>
    <w:p w14:paraId="09C5143B" w14:textId="3F95B32C" w:rsidR="009A4C8B" w:rsidRDefault="009A4C8B" w:rsidP="62988B77">
      <w:pPr>
        <w:spacing w:after="0"/>
      </w:pPr>
    </w:p>
    <w:p w14:paraId="38A1EC99" w14:textId="6781A581" w:rsidR="009A4C8B" w:rsidRDefault="3FEAB06A" w:rsidP="62988B77">
      <w:pPr>
        <w:pStyle w:val="Heading3"/>
        <w:spacing w:before="0" w:after="120"/>
      </w:pPr>
      <w:r w:rsidRPr="62988B77">
        <w:rPr>
          <w:rFonts w:ascii="Aptos" w:eastAsia="Aptos" w:hAnsi="Aptos" w:cs="Aptos"/>
          <w:b/>
          <w:bCs/>
          <w:color w:val="1F1F1F"/>
        </w:rPr>
        <w:t>2. PROJECT ASSIGNMENT &amp; ROLES</w:t>
      </w:r>
    </w:p>
    <w:p w14:paraId="0129CBE4" w14:textId="10DB2850" w:rsidR="009A4C8B" w:rsidRDefault="3FEAB06A" w:rsidP="62988B77">
      <w:pPr>
        <w:spacing w:after="240"/>
      </w:pPr>
      <w:r w:rsidRPr="62988B77">
        <w:rPr>
          <w:rFonts w:ascii="Aptos" w:eastAsia="Aptos" w:hAnsi="Aptos" w:cs="Aptos"/>
          <w:color w:val="1F1F1F"/>
        </w:rPr>
        <w:t>The following personnel are authorized to access the secure project server: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981"/>
        <w:gridCol w:w="2634"/>
        <w:gridCol w:w="2075"/>
      </w:tblGrid>
      <w:tr w:rsidR="62988B77" w14:paraId="6BB72C84" w14:textId="77777777" w:rsidTr="62988B77">
        <w:trPr>
          <w:trHeight w:val="300"/>
        </w:trPr>
        <w:tc>
          <w:tcPr>
            <w:tcW w:w="1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8A53FC" w14:textId="684DE405" w:rsidR="62988B77" w:rsidRDefault="62988B77" w:rsidP="62988B77">
            <w:pPr>
              <w:spacing w:after="0"/>
            </w:pPr>
            <w:r w:rsidRPr="62988B77">
              <w:rPr>
                <w:b/>
                <w:bCs/>
                <w:color w:val="1F1F1F"/>
              </w:rPr>
              <w:t>Role</w:t>
            </w:r>
          </w:p>
        </w:tc>
        <w:tc>
          <w:tcPr>
            <w:tcW w:w="26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EDAA87" w14:textId="188FDCB1" w:rsidR="62988B77" w:rsidRDefault="62988B77" w:rsidP="62988B77">
            <w:pPr>
              <w:spacing w:after="0"/>
            </w:pPr>
            <w:r w:rsidRPr="62988B77">
              <w:rPr>
                <w:b/>
                <w:bCs/>
                <w:color w:val="1F1F1F"/>
              </w:rPr>
              <w:t>Assigned Personnel</w:t>
            </w:r>
          </w:p>
        </w:tc>
        <w:tc>
          <w:tcPr>
            <w:tcW w:w="2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428E52" w14:textId="7E5E1E8B" w:rsidR="62988B77" w:rsidRDefault="62988B77" w:rsidP="62988B77">
            <w:pPr>
              <w:spacing w:after="0"/>
            </w:pPr>
            <w:r w:rsidRPr="62988B77">
              <w:rPr>
                <w:b/>
                <w:bCs/>
                <w:color w:val="1F1F1F"/>
              </w:rPr>
              <w:t>ID Number</w:t>
            </w:r>
          </w:p>
        </w:tc>
      </w:tr>
      <w:tr w:rsidR="62988B77" w14:paraId="5DB807FA" w14:textId="77777777" w:rsidTr="62988B77">
        <w:trPr>
          <w:trHeight w:val="300"/>
        </w:trPr>
        <w:tc>
          <w:tcPr>
            <w:tcW w:w="1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575E39" w14:textId="6F2954FC" w:rsidR="62988B77" w:rsidRDefault="62988B77" w:rsidP="62988B77">
            <w:pPr>
              <w:spacing w:after="0"/>
            </w:pPr>
            <w:r w:rsidRPr="62988B77">
              <w:rPr>
                <w:color w:val="1F1F1F"/>
              </w:rPr>
              <w:t>Project Lead</w:t>
            </w:r>
          </w:p>
        </w:tc>
        <w:tc>
          <w:tcPr>
            <w:tcW w:w="26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E0301B" w14:textId="7BF87229" w:rsidR="62988B77" w:rsidRDefault="62988B77" w:rsidP="62988B77">
            <w:pPr>
              <w:spacing w:after="0"/>
            </w:pPr>
            <w:r w:rsidRPr="62988B77">
              <w:rPr>
                <w:b/>
                <w:bCs/>
                <w:color w:val="1F1F1F"/>
              </w:rPr>
              <w:t>Martin Svoboda</w:t>
            </w:r>
          </w:p>
        </w:tc>
        <w:tc>
          <w:tcPr>
            <w:tcW w:w="2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23EFEF" w14:textId="00EE4D32" w:rsidR="62988B77" w:rsidRDefault="62988B77" w:rsidP="62988B77">
            <w:pPr>
              <w:spacing w:after="0"/>
            </w:pPr>
            <w:r w:rsidRPr="62988B77">
              <w:rPr>
                <w:color w:val="1F1F1F"/>
              </w:rPr>
              <w:t>ID: 880512/0012</w:t>
            </w:r>
          </w:p>
        </w:tc>
      </w:tr>
      <w:tr w:rsidR="62988B77" w14:paraId="7425D662" w14:textId="77777777" w:rsidTr="62988B77">
        <w:trPr>
          <w:trHeight w:val="300"/>
        </w:trPr>
        <w:tc>
          <w:tcPr>
            <w:tcW w:w="1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88CC57" w14:textId="50585D20" w:rsidR="62988B77" w:rsidRDefault="62988B77" w:rsidP="62988B77">
            <w:pPr>
              <w:spacing w:after="0"/>
            </w:pPr>
            <w:r w:rsidRPr="62988B77">
              <w:rPr>
                <w:color w:val="1F1F1F"/>
              </w:rPr>
              <w:t>Data Analyst</w:t>
            </w:r>
          </w:p>
        </w:tc>
        <w:tc>
          <w:tcPr>
            <w:tcW w:w="26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7B8FA8" w14:textId="00B6E905" w:rsidR="62988B77" w:rsidRDefault="62988B77" w:rsidP="62988B77">
            <w:pPr>
              <w:spacing w:after="0"/>
            </w:pPr>
            <w:r w:rsidRPr="62988B77">
              <w:rPr>
                <w:b/>
                <w:bCs/>
                <w:color w:val="1F1F1F"/>
              </w:rPr>
              <w:t>Ing. Jana Dvořáková</w:t>
            </w:r>
          </w:p>
        </w:tc>
        <w:tc>
          <w:tcPr>
            <w:tcW w:w="2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45C1AB" w14:textId="513AB442" w:rsidR="62988B77" w:rsidRDefault="62988B77" w:rsidP="62988B77">
            <w:pPr>
              <w:spacing w:after="0"/>
            </w:pPr>
            <w:r w:rsidRPr="62988B77">
              <w:rPr>
                <w:color w:val="1F1F1F"/>
              </w:rPr>
              <w:t>ID: 925601/4432</w:t>
            </w:r>
          </w:p>
        </w:tc>
      </w:tr>
      <w:tr w:rsidR="62988B77" w14:paraId="7E73434F" w14:textId="77777777" w:rsidTr="62988B77">
        <w:trPr>
          <w:trHeight w:val="300"/>
        </w:trPr>
        <w:tc>
          <w:tcPr>
            <w:tcW w:w="1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D625CF" w14:textId="59F659E3" w:rsidR="62988B77" w:rsidRDefault="62988B77" w:rsidP="62988B77">
            <w:pPr>
              <w:spacing w:after="0"/>
            </w:pPr>
            <w:r w:rsidRPr="62988B77">
              <w:rPr>
                <w:color w:val="1F1F1F"/>
              </w:rPr>
              <w:t>Security Auditor</w:t>
            </w:r>
          </w:p>
        </w:tc>
        <w:tc>
          <w:tcPr>
            <w:tcW w:w="26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58320E" w14:textId="033EB0F4" w:rsidR="62988B77" w:rsidRDefault="62988B77" w:rsidP="62988B77">
            <w:pPr>
              <w:spacing w:after="0"/>
            </w:pPr>
            <w:r w:rsidRPr="62988B77">
              <w:rPr>
                <w:b/>
                <w:bCs/>
                <w:color w:val="1F1F1F"/>
              </w:rPr>
              <w:t>Petr Kučera</w:t>
            </w:r>
          </w:p>
        </w:tc>
        <w:tc>
          <w:tcPr>
            <w:tcW w:w="2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2743FA" w14:textId="3AA573C3" w:rsidR="62988B77" w:rsidRDefault="62988B77" w:rsidP="62988B77">
            <w:pPr>
              <w:spacing w:after="0"/>
            </w:pPr>
            <w:r w:rsidRPr="62988B77">
              <w:rPr>
                <w:color w:val="1F1F1F"/>
              </w:rPr>
              <w:t>ID: 750303/1189</w:t>
            </w:r>
          </w:p>
        </w:tc>
      </w:tr>
    </w:tbl>
    <w:p w14:paraId="3D5D23CA" w14:textId="272A6689" w:rsidR="009A4C8B" w:rsidRDefault="009A4C8B" w:rsidP="62988B77">
      <w:pPr>
        <w:spacing w:after="0"/>
      </w:pPr>
    </w:p>
    <w:p w14:paraId="0A6917E0" w14:textId="0F2CDB6B" w:rsidR="009A4C8B" w:rsidRDefault="3FEAB06A" w:rsidP="62988B77">
      <w:pPr>
        <w:pStyle w:val="Heading3"/>
        <w:spacing w:before="0" w:after="120"/>
      </w:pPr>
      <w:r w:rsidRPr="62988B77">
        <w:rPr>
          <w:rFonts w:ascii="Aptos" w:eastAsia="Aptos" w:hAnsi="Aptos" w:cs="Aptos"/>
          <w:b/>
          <w:bCs/>
          <w:color w:val="1F1F1F"/>
        </w:rPr>
        <w:t>3. FINANCIAL TERMS</w:t>
      </w:r>
    </w:p>
    <w:p w14:paraId="6A047585" w14:textId="6E7B60B2" w:rsidR="009A4C8B" w:rsidRDefault="3FEAB06A" w:rsidP="62988B77">
      <w:pPr>
        <w:spacing w:after="240"/>
      </w:pPr>
      <w:r w:rsidRPr="62988B77">
        <w:rPr>
          <w:rFonts w:ascii="Aptos" w:eastAsia="Aptos" w:hAnsi="Aptos" w:cs="Aptos"/>
          <w:color w:val="1F1F1F"/>
        </w:rPr>
        <w:t xml:space="preserve">All invoices should be directed to the Accounting Department at </w:t>
      </w:r>
      <w:hyperlink r:id="rId6">
        <w:r w:rsidRPr="62988B77">
          <w:rPr>
            <w:rStyle w:val="Hyperlink"/>
            <w:rFonts w:ascii="Aptos" w:eastAsia="Aptos" w:hAnsi="Aptos" w:cs="Aptos"/>
            <w:b/>
            <w:bCs/>
          </w:rPr>
          <w:t>finance@acme-global.cz</w:t>
        </w:r>
      </w:hyperlink>
      <w:r w:rsidRPr="62988B77">
        <w:rPr>
          <w:rFonts w:ascii="Aptos" w:eastAsia="Aptos" w:hAnsi="Aptos" w:cs="Aptos"/>
          <w:color w:val="1F1F1F"/>
        </w:rPr>
        <w:t>. Payments will be issued via wire transfer to the account held by Jiří Novák.</w:t>
      </w:r>
    </w:p>
    <w:p w14:paraId="65780997" w14:textId="0F4BFA41" w:rsidR="009A4C8B" w:rsidRDefault="3FEAB06A" w:rsidP="62988B77">
      <w:pPr>
        <w:spacing w:after="240"/>
      </w:pPr>
      <w:r w:rsidRPr="62988B77">
        <w:rPr>
          <w:rFonts w:ascii="Aptos" w:eastAsia="Aptos" w:hAnsi="Aptos" w:cs="Aptos"/>
          <w:b/>
          <w:bCs/>
          <w:color w:val="1F1F1F"/>
        </w:rPr>
        <w:t>Note:</w:t>
      </w:r>
      <w:r w:rsidRPr="62988B77">
        <w:rPr>
          <w:rFonts w:ascii="Aptos" w:eastAsia="Aptos" w:hAnsi="Aptos" w:cs="Aptos"/>
          <w:color w:val="1F1F1F"/>
        </w:rPr>
        <w:t xml:space="preserve"> Any change in the consultant’s primary residence at </w:t>
      </w:r>
      <w:r w:rsidRPr="62988B77">
        <w:rPr>
          <w:rFonts w:ascii="Aptos" w:eastAsia="Aptos" w:hAnsi="Aptos" w:cs="Aptos"/>
          <w:b/>
          <w:bCs/>
          <w:color w:val="1F1F1F"/>
        </w:rPr>
        <w:t>Mánesova 15, Prague 2</w:t>
      </w:r>
      <w:r w:rsidRPr="62988B77">
        <w:rPr>
          <w:rFonts w:ascii="Aptos" w:eastAsia="Aptos" w:hAnsi="Aptos" w:cs="Aptos"/>
          <w:color w:val="1F1F1F"/>
        </w:rPr>
        <w:t xml:space="preserve"> must be reported within 10 business days.</w:t>
      </w:r>
    </w:p>
    <w:p w14:paraId="674AEF06" w14:textId="6D058456" w:rsidR="009A4C8B" w:rsidRDefault="009A4C8B" w:rsidP="62988B77">
      <w:pPr>
        <w:spacing w:after="0"/>
      </w:pPr>
    </w:p>
    <w:p w14:paraId="2C534C23" w14:textId="12B47088" w:rsidR="009A4C8B" w:rsidRDefault="3FEAB06A" w:rsidP="62988B77">
      <w:pPr>
        <w:pStyle w:val="Heading3"/>
        <w:spacing w:before="0" w:after="120"/>
      </w:pPr>
      <w:r w:rsidRPr="62988B77">
        <w:rPr>
          <w:rFonts w:ascii="Aptos" w:eastAsia="Aptos" w:hAnsi="Aptos" w:cs="Aptos"/>
          <w:b/>
          <w:bCs/>
          <w:color w:val="1F1F1F"/>
        </w:rPr>
        <w:lastRenderedPageBreak/>
        <w:t>4. EMERGENCY CONTACTS</w:t>
      </w:r>
    </w:p>
    <w:p w14:paraId="0B14E857" w14:textId="0F2D14F8" w:rsidR="009A4C8B" w:rsidRDefault="3FEAB06A" w:rsidP="62988B77">
      <w:pPr>
        <w:spacing w:after="120"/>
      </w:pPr>
      <w:r w:rsidRPr="62988B77">
        <w:rPr>
          <w:rFonts w:ascii="Aptos" w:eastAsia="Aptos" w:hAnsi="Aptos" w:cs="Aptos"/>
          <w:color w:val="1F1F1F"/>
        </w:rPr>
        <w:t>In case of a data breach, the Security Response Team must contact:</w:t>
      </w:r>
    </w:p>
    <w:p w14:paraId="21BF7238" w14:textId="0CEE95AC" w:rsidR="009A4C8B" w:rsidRDefault="3FEAB06A" w:rsidP="62988B77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color w:val="1F1F1F"/>
        </w:rPr>
      </w:pPr>
      <w:r w:rsidRPr="62988B77">
        <w:rPr>
          <w:rFonts w:ascii="Aptos" w:eastAsia="Aptos" w:hAnsi="Aptos" w:cs="Aptos"/>
          <w:b/>
          <w:bCs/>
          <w:color w:val="1F1F1F"/>
        </w:rPr>
        <w:t>Primary:</w:t>
      </w:r>
      <w:r w:rsidRPr="62988B77">
        <w:rPr>
          <w:rFonts w:ascii="Aptos" w:eastAsia="Aptos" w:hAnsi="Aptos" w:cs="Aptos"/>
          <w:color w:val="1F1F1F"/>
        </w:rPr>
        <w:t xml:space="preserve"> Martin Svoboda (+420 608 999 888)</w:t>
      </w:r>
    </w:p>
    <w:p w14:paraId="69E16356" w14:textId="209DC3BB" w:rsidR="009A4C8B" w:rsidRDefault="3FEAB06A" w:rsidP="62988B77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color w:val="1F1F1F"/>
        </w:rPr>
      </w:pPr>
      <w:r w:rsidRPr="62988B77">
        <w:rPr>
          <w:rFonts w:ascii="Aptos" w:eastAsia="Aptos" w:hAnsi="Aptos" w:cs="Aptos"/>
          <w:b/>
          <w:bCs/>
          <w:color w:val="1F1F1F"/>
        </w:rPr>
        <w:t>Secondary:</w:t>
      </w:r>
      <w:r w:rsidRPr="62988B77">
        <w:rPr>
          <w:rFonts w:ascii="Aptos" w:eastAsia="Aptos" w:hAnsi="Aptos" w:cs="Aptos"/>
          <w:color w:val="1F1F1F"/>
        </w:rPr>
        <w:t xml:space="preserve"> Hana Malá (</w:t>
      </w:r>
      <w:hyperlink r:id="rId7">
        <w:r w:rsidRPr="62988B77">
          <w:rPr>
            <w:rStyle w:val="Hyperlink"/>
            <w:rFonts w:ascii="Aptos" w:eastAsia="Aptos" w:hAnsi="Aptos" w:cs="Aptos"/>
          </w:rPr>
          <w:t>hana.mala@corp-security.com</w:t>
        </w:r>
      </w:hyperlink>
      <w:r w:rsidRPr="62988B77">
        <w:rPr>
          <w:rFonts w:ascii="Aptos" w:eastAsia="Aptos" w:hAnsi="Aptos" w:cs="Aptos"/>
          <w:color w:val="1F1F1F"/>
        </w:rPr>
        <w:t>)</w:t>
      </w:r>
    </w:p>
    <w:p w14:paraId="3961D849" w14:textId="60381F8F" w:rsidR="009A4C8B" w:rsidRDefault="009A4C8B" w:rsidP="62988B77">
      <w:pPr>
        <w:spacing w:after="0"/>
      </w:pPr>
    </w:p>
    <w:p w14:paraId="37CFEB9E" w14:textId="26105D04" w:rsidR="009A4C8B" w:rsidRDefault="3FEAB06A" w:rsidP="62988B77">
      <w:pPr>
        <w:pStyle w:val="Heading3"/>
        <w:spacing w:before="0" w:after="120"/>
      </w:pPr>
      <w:r w:rsidRPr="62988B77">
        <w:rPr>
          <w:rFonts w:ascii="Aptos" w:eastAsia="Aptos" w:hAnsi="Aptos" w:cs="Aptos"/>
          <w:b/>
          <w:bCs/>
          <w:color w:val="1F1F1F"/>
        </w:rPr>
        <w:t>Tips for your .docx testing:</w:t>
      </w:r>
    </w:p>
    <w:p w14:paraId="54BFBAE3" w14:textId="37E16294" w:rsidR="009A4C8B" w:rsidRDefault="3FEAB06A" w:rsidP="62988B77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color w:val="1F1F1F"/>
        </w:rPr>
      </w:pPr>
      <w:r w:rsidRPr="62988B77">
        <w:rPr>
          <w:rFonts w:ascii="Aptos" w:eastAsia="Aptos" w:hAnsi="Aptos" w:cs="Aptos"/>
          <w:b/>
          <w:bCs/>
          <w:color w:val="1F1F1F"/>
        </w:rPr>
        <w:t>Style some text:</w:t>
      </w:r>
      <w:r w:rsidRPr="62988B77">
        <w:rPr>
          <w:rFonts w:ascii="Aptos" w:eastAsia="Aptos" w:hAnsi="Aptos" w:cs="Aptos"/>
          <w:color w:val="1F1F1F"/>
        </w:rPr>
        <w:t xml:space="preserve"> In Word, make "Jiří Novák" </w:t>
      </w:r>
      <w:r w:rsidRPr="62988B77">
        <w:rPr>
          <w:rFonts w:ascii="Aptos" w:eastAsia="Aptos" w:hAnsi="Aptos" w:cs="Aptos"/>
          <w:b/>
          <w:bCs/>
          <w:color w:val="1F1F1F"/>
        </w:rPr>
        <w:t>Bold</w:t>
      </w:r>
      <w:r w:rsidRPr="62988B77">
        <w:rPr>
          <w:rFonts w:ascii="Aptos" w:eastAsia="Aptos" w:hAnsi="Aptos" w:cs="Aptos"/>
          <w:color w:val="1F1F1F"/>
        </w:rPr>
        <w:t xml:space="preserve"> and "Budějovická 12" </w:t>
      </w:r>
      <w:r w:rsidRPr="62988B77">
        <w:rPr>
          <w:rFonts w:ascii="Aptos" w:eastAsia="Aptos" w:hAnsi="Aptos" w:cs="Aptos"/>
          <w:i/>
          <w:iCs/>
          <w:color w:val="1F1F1F"/>
        </w:rPr>
        <w:t>Italic</w:t>
      </w:r>
      <w:r w:rsidRPr="62988B77">
        <w:rPr>
          <w:rFonts w:ascii="Aptos" w:eastAsia="Aptos" w:hAnsi="Aptos" w:cs="Aptos"/>
          <w:color w:val="1F1F1F"/>
        </w:rPr>
        <w:t>.</w:t>
      </w:r>
    </w:p>
    <w:p w14:paraId="68C537C8" w14:textId="6756B391" w:rsidR="001342CF" w:rsidRDefault="3FEAB06A" w:rsidP="001342CF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color w:val="1F1F1F"/>
        </w:rPr>
      </w:pPr>
      <w:r w:rsidRPr="62988B77">
        <w:rPr>
          <w:rFonts w:ascii="Aptos" w:eastAsia="Aptos" w:hAnsi="Aptos" w:cs="Aptos"/>
          <w:b/>
          <w:bCs/>
          <w:color w:val="1F1F1F"/>
        </w:rPr>
        <w:t>Add a Link:</w:t>
      </w:r>
      <w:r w:rsidRPr="62988B77">
        <w:rPr>
          <w:rFonts w:ascii="Aptos" w:eastAsia="Aptos" w:hAnsi="Aptos" w:cs="Aptos"/>
          <w:color w:val="1F1F1F"/>
        </w:rPr>
        <w:t xml:space="preserve"> Make the email addresses actual clickable hyperlinks.</w:t>
      </w:r>
    </w:p>
    <w:p w14:paraId="2A3736AA" w14:textId="77777777" w:rsidR="001342CF" w:rsidRDefault="001342CF" w:rsidP="001342CF">
      <w:pPr>
        <w:spacing w:before="240" w:after="240"/>
        <w:rPr>
          <w:rFonts w:ascii="Aptos" w:eastAsia="Aptos" w:hAnsi="Aptos" w:cs="Aptos"/>
          <w:color w:val="1F1F1F"/>
        </w:rPr>
      </w:pPr>
    </w:p>
    <w:p w14:paraId="1EE7CBDF" w14:textId="77777777" w:rsidR="001342CF" w:rsidRDefault="001342CF" w:rsidP="001342CF">
      <w:pPr>
        <w:spacing w:before="240" w:after="240"/>
        <w:rPr>
          <w:rFonts w:ascii="Aptos" w:eastAsia="Aptos" w:hAnsi="Aptos" w:cs="Aptos"/>
          <w:color w:val="1F1F1F"/>
        </w:rPr>
      </w:pPr>
    </w:p>
    <w:p w14:paraId="30F4CAC2" w14:textId="77777777" w:rsidR="001342CF" w:rsidRPr="001342CF" w:rsidRDefault="001342CF" w:rsidP="001342CF">
      <w:pPr>
        <w:spacing w:before="240" w:after="240"/>
        <w:rPr>
          <w:rFonts w:ascii="Aptos" w:eastAsia="Aptos" w:hAnsi="Aptos" w:cs="Aptos"/>
          <w:color w:val="1F1F1F"/>
        </w:rPr>
      </w:pPr>
    </w:p>
    <w:sectPr w:rsidR="001342CF" w:rsidRPr="001342C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F2D81"/>
    <w:multiLevelType w:val="hybridMultilevel"/>
    <w:tmpl w:val="5A82C468"/>
    <w:lvl w:ilvl="0" w:tplc="3FDAFA74">
      <w:start w:val="1"/>
      <w:numFmt w:val="decimal"/>
      <w:lvlText w:val="%1."/>
      <w:lvlJc w:val="left"/>
      <w:pPr>
        <w:ind w:left="720" w:hanging="360"/>
      </w:pPr>
    </w:lvl>
    <w:lvl w:ilvl="1" w:tplc="CF7EA9AA">
      <w:start w:val="1"/>
      <w:numFmt w:val="lowerLetter"/>
      <w:lvlText w:val="%2."/>
      <w:lvlJc w:val="left"/>
      <w:pPr>
        <w:ind w:left="1440" w:hanging="360"/>
      </w:pPr>
    </w:lvl>
    <w:lvl w:ilvl="2" w:tplc="4B08FFB0">
      <w:start w:val="1"/>
      <w:numFmt w:val="lowerRoman"/>
      <w:lvlText w:val="%3."/>
      <w:lvlJc w:val="right"/>
      <w:pPr>
        <w:ind w:left="2160" w:hanging="180"/>
      </w:pPr>
    </w:lvl>
    <w:lvl w:ilvl="3" w:tplc="A956DD8E">
      <w:start w:val="1"/>
      <w:numFmt w:val="decimal"/>
      <w:lvlText w:val="%4."/>
      <w:lvlJc w:val="left"/>
      <w:pPr>
        <w:ind w:left="2880" w:hanging="360"/>
      </w:pPr>
    </w:lvl>
    <w:lvl w:ilvl="4" w:tplc="44723F1A">
      <w:start w:val="1"/>
      <w:numFmt w:val="lowerLetter"/>
      <w:lvlText w:val="%5."/>
      <w:lvlJc w:val="left"/>
      <w:pPr>
        <w:ind w:left="3600" w:hanging="360"/>
      </w:pPr>
    </w:lvl>
    <w:lvl w:ilvl="5" w:tplc="5B6E1918">
      <w:start w:val="1"/>
      <w:numFmt w:val="lowerRoman"/>
      <w:lvlText w:val="%6."/>
      <w:lvlJc w:val="right"/>
      <w:pPr>
        <w:ind w:left="4320" w:hanging="180"/>
      </w:pPr>
    </w:lvl>
    <w:lvl w:ilvl="6" w:tplc="0272380C">
      <w:start w:val="1"/>
      <w:numFmt w:val="decimal"/>
      <w:lvlText w:val="%7."/>
      <w:lvlJc w:val="left"/>
      <w:pPr>
        <w:ind w:left="5040" w:hanging="360"/>
      </w:pPr>
    </w:lvl>
    <w:lvl w:ilvl="7" w:tplc="7CF08DA4">
      <w:start w:val="1"/>
      <w:numFmt w:val="lowerLetter"/>
      <w:lvlText w:val="%8."/>
      <w:lvlJc w:val="left"/>
      <w:pPr>
        <w:ind w:left="5760" w:hanging="360"/>
      </w:pPr>
    </w:lvl>
    <w:lvl w:ilvl="8" w:tplc="2E3E8CD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822121"/>
    <w:multiLevelType w:val="hybridMultilevel"/>
    <w:tmpl w:val="7B90DDDA"/>
    <w:lvl w:ilvl="0" w:tplc="82B254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20F9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B05C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7EAF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2E24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42DF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EA1F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46F2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BA46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7942480">
    <w:abstractNumId w:val="0"/>
  </w:num>
  <w:num w:numId="2" w16cid:durableId="591935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156318C"/>
    <w:rsid w:val="00093C76"/>
    <w:rsid w:val="001342CF"/>
    <w:rsid w:val="00745658"/>
    <w:rsid w:val="008A5F95"/>
    <w:rsid w:val="009A4C8B"/>
    <w:rsid w:val="00CB64F7"/>
    <w:rsid w:val="3FEAB06A"/>
    <w:rsid w:val="6156318C"/>
    <w:rsid w:val="62988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56318C"/>
  <w15:chartTrackingRefBased/>
  <w15:docId w15:val="{0EA84B78-A80E-4257-97F3-BBBC0D1BF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62988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uiPriority w:val="9"/>
    <w:unhideWhenUsed/>
    <w:qFormat/>
    <w:rsid w:val="62988B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2988B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62988B77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hana.mala@corp-security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inance@acme-global.cz" TargetMode="External"/><Relationship Id="rId5" Type="http://schemas.openxmlformats.org/officeDocument/2006/relationships/hyperlink" Target="mailto:jiri.novak.freelance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251</Words>
  <Characters>1373</Characters>
  <Application>Microsoft Office Word</Application>
  <DocSecurity>0</DocSecurity>
  <Lines>45</Lines>
  <Paragraphs>38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Jiří Novák</dc:creator>
  <cp:keywords/>
  <dc:description/>
  <cp:lastModifiedBy>Jiří Novák</cp:lastModifiedBy>
  <cp:revision>6</cp:revision>
  <dcterms:created xsi:type="dcterms:W3CDTF">2026-02-12T14:15:00Z</dcterms:created>
  <dcterms:modified xsi:type="dcterms:W3CDTF">2026-02-12T14:53:00Z</dcterms:modified>
</cp:coreProperties>
</file>