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eastAsia="Tahoma" w:cs="Tahoma" w:ascii="Times New Roman" w:hAnsi="Times New Roman"/>
          <w:b/>
          <w:sz w:val="28"/>
          <w:szCs w:val="28"/>
        </w:rPr>
      </w:pPr>
      <w:r>
        <w:rPr>
          <w:rFonts w:eastAsia="Tahoma" w:cs="Tahoma" w:ascii="Times New Roman" w:hAnsi="Times New Roman"/>
          <w:b/>
          <w:color w:val="000000"/>
          <w:sz w:val="28"/>
          <w:szCs w:val="28"/>
        </w:rPr>
        <w:t>О</w:t>
      </w:r>
      <w:r>
        <w:rPr>
          <w:rFonts w:eastAsia="Tahoma" w:cs="Tahoma" w:ascii="Times New Roman" w:hAnsi="Times New Roman"/>
          <w:b/>
          <w:sz w:val="28"/>
          <w:szCs w:val="28"/>
        </w:rPr>
        <w:t xml:space="preserve">тчёт по платежам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eastAsia="Tahoma" w:cs="Tahoma" w:ascii="Times New Roman" w:hAnsi="Times New Roman"/>
          <w:b/>
          <w:sz w:val="24"/>
          <w:szCs w:val="24"/>
        </w:rPr>
      </w:pPr>
      <w:r>
        <w:rPr>
          <w:rFonts w:eastAsia="Tahoma" w:cs="Tahoma" w:ascii="Times New Roman" w:hAnsi="Times New Roman"/>
          <w:b/>
          <w:sz w:val="24"/>
          <w:szCs w:val="24"/>
        </w:rPr>
        <w:br/>
        <w:t>Webmart Group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${Year}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Отчетный период: ${startDay} - ${endDay}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Дата формирования отчета: ${</w:t>
      </w:r>
      <w:bookmarkStart w:id="0" w:name="__DdeLink__688_1591231625"/>
      <w:r>
        <w:rPr>
          <w:rFonts w:ascii="Times New Roman" w:hAnsi="Times New Roman"/>
          <w:sz w:val="24"/>
          <w:szCs w:val="24"/>
          <w:lang w:val="en-GB"/>
        </w:rPr>
        <w:t>currentDay</w:t>
      </w:r>
      <w:bookmarkEnd w:id="0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Суммарная статистика по платежам:</w:t>
      </w:r>
      <w:r>
        <w:rPr>
          <w:rFonts w:ascii="Times New Roman" w:hAnsi="Times New Roman"/>
          <w:sz w:val="24"/>
          <w:szCs w:val="24"/>
          <w:lang w:val="en-GB"/>
        </w:rPr>
        <w:br/>
        <w:t>Общая сумма платежей: ${</w:t>
      </w:r>
      <w:bookmarkStart w:id="1" w:name="__DdeLink__144_351549227"/>
      <w:r>
        <w:rPr>
          <w:rFonts w:ascii="Times New Roman" w:hAnsi="Times New Roman"/>
          <w:sz w:val="24"/>
          <w:szCs w:val="24"/>
          <w:lang w:val="en-GB"/>
        </w:rPr>
        <w:t>iSumTotal</w:t>
      </w:r>
      <w:bookmarkEnd w:id="1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налогов: ${</w:t>
      </w:r>
      <w:bookmarkStart w:id="2" w:name="__DdeLink__146_351549227"/>
      <w:r>
        <w:rPr>
          <w:rFonts w:ascii="Times New Roman" w:hAnsi="Times New Roman"/>
          <w:sz w:val="24"/>
          <w:szCs w:val="24"/>
          <w:lang w:val="en-GB"/>
        </w:rPr>
        <w:t>iTaxTotal</w:t>
      </w:r>
      <w:bookmarkEnd w:id="2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Общая сумма производственных затрат: ${</w:t>
      </w:r>
      <w:bookmarkStart w:id="3" w:name="__DdeLink__148_351549227"/>
      <w:r>
        <w:rPr>
          <w:rFonts w:ascii="Times New Roman" w:hAnsi="Times New Roman"/>
          <w:sz w:val="24"/>
          <w:szCs w:val="24"/>
          <w:lang w:val="en-GB"/>
        </w:rPr>
        <w:t>iProdTotal</w:t>
      </w:r>
      <w:bookmarkEnd w:id="3"/>
      <w:r>
        <w:rPr>
          <w:rFonts w:ascii="Times New Roman" w:hAnsi="Times New Roman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Общая сумма прибыли: </w:t>
      </w:r>
      <w:bookmarkStart w:id="4" w:name="__DdeLink__602_351549227"/>
      <w:r>
        <w:rPr>
          <w:rFonts w:ascii="Times New Roman" w:hAnsi="Times New Roman"/>
          <w:sz w:val="24"/>
          <w:szCs w:val="24"/>
          <w:lang w:val="en-GB"/>
        </w:rPr>
        <w:t>${</w:t>
      </w:r>
      <w:bookmarkStart w:id="5" w:name="__DdeLink__148_3515492272"/>
      <w:bookmarkStart w:id="6" w:name="__DdeLink__1900_351549227"/>
      <w:r>
        <w:rPr>
          <w:rFonts w:ascii="Times New Roman" w:hAnsi="Times New Roman"/>
          <w:sz w:val="24"/>
          <w:szCs w:val="24"/>
          <w:lang w:val="en-GB"/>
        </w:rPr>
        <w:t>iProfTotal</w:t>
      </w:r>
      <w:bookmarkEnd w:id="5"/>
      <w:bookmarkEnd w:id="6"/>
      <w:r>
        <w:rPr>
          <w:rFonts w:ascii="Times New Roman" w:hAnsi="Times New Roman"/>
          <w:sz w:val="24"/>
          <w:szCs w:val="24"/>
          <w:lang w:val="en-GB"/>
        </w:rPr>
        <w:t>}</w:t>
      </w:r>
      <w:bookmarkEnd w:id="4"/>
      <w:r>
        <w:rPr>
          <w:rFonts w:ascii="Times New Roman" w:hAnsi="Times New Roman"/>
          <w:sz w:val="24"/>
          <w:szCs w:val="24"/>
          <w:lang w:val="en-GB"/>
        </w:rPr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Статистика компании за отчетный период</w:t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tbl>
      <w:tblPr>
        <w:jc w:val="left"/>
        <w:tblInd w:w="-3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73"/>
        <w:gridCol w:w="737"/>
        <w:gridCol w:w="722"/>
        <w:gridCol w:w="738"/>
        <w:gridCol w:w="640"/>
        <w:gridCol w:w="611"/>
        <w:gridCol w:w="613"/>
        <w:gridCol w:w="612"/>
        <w:gridCol w:w="987"/>
        <w:gridCol w:w="1195"/>
        <w:gridCol w:w="1392"/>
        <w:gridCol w:w="1391"/>
      </w:tblGrid>
      <w:tr>
        <w:trPr>
          <w:cantSplit w:val="false"/>
        </w:trPr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контрагент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Ответст.</w:t>
            </w:r>
          </w:p>
        </w:tc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юр. лицо</w:t>
            </w:r>
          </w:p>
        </w:tc>
        <w:tc>
          <w:tcPr>
            <w:tcW w:w="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услуга</w:t>
            </w:r>
          </w:p>
        </w:tc>
        <w:tc>
          <w:tcPr>
            <w:tcW w:w="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платеж</w:t>
            </w:r>
          </w:p>
        </w:tc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Вал. платежа</w:t>
            </w:r>
          </w:p>
        </w:tc>
        <w:tc>
          <w:tcPr>
            <w:tcW w:w="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курс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налог</w:t>
            </w:r>
          </w:p>
        </w:tc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Произв. затраты</w:t>
            </w:r>
          </w:p>
        </w:tc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прибыль</w:t>
            </w:r>
          </w:p>
        </w:tc>
        <w:tc>
          <w:tcPr>
            <w:tcW w:w="1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Курс условия</w:t>
            </w:r>
          </w:p>
        </w:tc>
      </w:tr>
      <w:tr>
        <w:trPr>
          <w:cantSplit w:val="false"/>
        </w:trPr>
        <w:tc>
          <w:tcPr>
            <w:tcW w:w="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7" w:name="__DdeLink__769_1591231625"/>
            <w:bookmarkStart w:id="8" w:name="__DdeLink__694_1591231625"/>
            <w:bookmarkStart w:id="9" w:name="__DdeLink__152_351549227"/>
            <w:r>
              <w:rPr>
                <w:sz w:val="18"/>
                <w:szCs w:val="18"/>
              </w:rPr>
              <w:t>cDate</w:t>
            </w:r>
            <w:bookmarkEnd w:id="7"/>
            <w:bookmarkEnd w:id="8"/>
            <w:bookmarkEnd w:id="9"/>
            <w:r>
              <w:rPr>
                <w:sz w:val="18"/>
                <w:szCs w:val="18"/>
              </w:rPr>
              <w:t>}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10" w:name="__DdeLink__155_351549227"/>
            <w:bookmarkStart w:id="11" w:name="__DdeLink__696_1591231625"/>
            <w:r>
              <w:rPr>
                <w:sz w:val="18"/>
                <w:szCs w:val="18"/>
              </w:rPr>
              <w:t>c</w:t>
            </w:r>
            <w:bookmarkEnd w:id="11"/>
            <w:r>
              <w:rPr>
                <w:sz w:val="18"/>
                <w:szCs w:val="18"/>
              </w:rPr>
              <w:t>ontractor</w:t>
            </w:r>
            <w:bookmarkEnd w:id="10"/>
            <w:r>
              <w:rPr>
                <w:sz w:val="18"/>
                <w:szCs w:val="18"/>
              </w:rPr>
              <w:t>}</w:t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${manager}</w:t>
            </w:r>
          </w:p>
        </w:tc>
        <w:tc>
          <w:tcPr>
            <w:tcW w:w="7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12" w:name="__DdeLink__577_351549227"/>
            <w:bookmarkStart w:id="13" w:name="__DdeLink__698_1591231625"/>
            <w:r>
              <w:rPr>
                <w:sz w:val="18"/>
                <w:szCs w:val="18"/>
              </w:rPr>
              <w:t>l</w:t>
            </w:r>
            <w:bookmarkEnd w:id="13"/>
            <w:r>
              <w:rPr>
                <w:sz w:val="18"/>
                <w:szCs w:val="18"/>
              </w:rPr>
              <w:t>egalPerson</w:t>
            </w:r>
            <w:bookmarkEnd w:id="12"/>
            <w:r>
              <w:rPr>
                <w:sz w:val="18"/>
                <w:szCs w:val="18"/>
              </w:rPr>
              <w:t>}</w:t>
            </w:r>
          </w:p>
        </w:tc>
        <w:tc>
          <w:tcPr>
            <w:tcW w:w="6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14" w:name="__DdeLink__579_351549227"/>
            <w:r>
              <w:rPr>
                <w:sz w:val="18"/>
                <w:szCs w:val="18"/>
              </w:rPr>
              <w:t>service</w:t>
            </w:r>
            <w:bookmarkEnd w:id="14"/>
            <w:r>
              <w:rPr>
                <w:sz w:val="18"/>
                <w:szCs w:val="18"/>
              </w:rPr>
              <w:t>}</w:t>
            </w:r>
          </w:p>
        </w:tc>
        <w:tc>
          <w:tcPr>
            <w:tcW w:w="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15" w:name="__DdeLink__582_351549227"/>
            <w:r>
              <w:rPr>
                <w:sz w:val="18"/>
                <w:szCs w:val="18"/>
              </w:rPr>
              <w:t>i</w:t>
            </w:r>
            <w:bookmarkStart w:id="16" w:name="__DdeLink__700_1591231625"/>
            <w:r>
              <w:rPr>
                <w:sz w:val="18"/>
                <w:szCs w:val="18"/>
              </w:rPr>
              <w:t>Sum</w:t>
            </w:r>
            <w:bookmarkEnd w:id="15"/>
            <w:bookmarkEnd w:id="16"/>
            <w:r>
              <w:rPr>
                <w:sz w:val="18"/>
                <w:szCs w:val="18"/>
              </w:rPr>
              <w:t>}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${currCode}</w:t>
            </w:r>
          </w:p>
        </w:tc>
        <w:tc>
          <w:tcPr>
            <w:tcW w:w="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${exRate}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17" w:name="__DdeLink__585_351549227"/>
            <w:bookmarkStart w:id="18" w:name="__DdeLink__702_1591231625"/>
            <w:r>
              <w:rPr>
                <w:sz w:val="18"/>
                <w:szCs w:val="18"/>
              </w:rPr>
              <w:t>i</w:t>
            </w:r>
            <w:bookmarkEnd w:id="18"/>
            <w:r>
              <w:rPr>
                <w:sz w:val="18"/>
                <w:szCs w:val="18"/>
              </w:rPr>
              <w:t>Tax</w:t>
            </w:r>
            <w:bookmarkEnd w:id="17"/>
            <w:r>
              <w:rPr>
                <w:sz w:val="18"/>
                <w:szCs w:val="18"/>
              </w:rPr>
              <w:t>}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bookmarkStart w:id="19" w:name="__DdeLink__692_902206104"/>
            <w:r>
              <w:rPr>
                <w:sz w:val="18"/>
                <w:szCs w:val="18"/>
              </w:rPr>
              <w:t>${</w:t>
            </w:r>
            <w:bookmarkStart w:id="20" w:name="__DdeLink__588_351549227"/>
            <w:bookmarkStart w:id="21" w:name="__DdeLink__704_1591231625"/>
            <w:bookmarkEnd w:id="19"/>
            <w:r>
              <w:rPr>
                <w:sz w:val="18"/>
                <w:szCs w:val="18"/>
              </w:rPr>
              <w:t>i</w:t>
            </w:r>
            <w:bookmarkEnd w:id="21"/>
            <w:r>
              <w:rPr>
                <w:sz w:val="18"/>
                <w:szCs w:val="18"/>
              </w:rPr>
              <w:t>Prod</w:t>
            </w:r>
            <w:bookmarkEnd w:id="20"/>
            <w:r>
              <w:rPr>
                <w:sz w:val="18"/>
                <w:szCs w:val="18"/>
              </w:rPr>
              <w:t>}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bookmarkStart w:id="22" w:name="__DdeLink__590_351549227"/>
            <w:r>
              <w:rPr>
                <w:sz w:val="18"/>
                <w:szCs w:val="18"/>
              </w:rPr>
              <w:t>iProfit</w:t>
            </w:r>
            <w:bookmarkEnd w:id="22"/>
            <w:r>
              <w:rPr>
                <w:sz w:val="18"/>
                <w:szCs w:val="18"/>
              </w:rPr>
              <w:t>}</w:t>
            </w:r>
          </w:p>
        </w:tc>
        <w:tc>
          <w:tcPr>
            <w:tcW w:w="13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${exCondRate}</w:t>
            </w:r>
          </w:p>
        </w:tc>
      </w:tr>
      <w:tr>
        <w:trPr>
          <w:cantSplit w:val="false"/>
        </w:trPr>
        <w:tc>
          <w:tcPr>
            <w:tcW w:w="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7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6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6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${</w:t>
            </w:r>
            <w:bookmarkStart w:id="23" w:name="__DdeLink__144_3515492271"/>
            <w:r>
              <w:rPr>
                <w:rFonts w:ascii="Times New Roman" w:hAnsi="Times New Roman"/>
                <w:sz w:val="18"/>
                <w:szCs w:val="18"/>
                <w:lang w:val="en-GB"/>
              </w:rPr>
              <w:t>iSumTotal</w:t>
            </w:r>
            <w:bookmarkEnd w:id="23"/>
            <w:r>
              <w:rPr>
                <w:rFonts w:ascii="Times New Roman" w:hAnsi="Times New Roman"/>
                <w:sz w:val="18"/>
                <w:szCs w:val="18"/>
                <w:lang w:val="en-GB"/>
              </w:rPr>
              <w:t>}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${</w:t>
            </w:r>
            <w:bookmarkStart w:id="24" w:name="__DdeLink__146_3515492271"/>
            <w:r>
              <w:rPr>
                <w:rFonts w:ascii="Times New Roman" w:hAnsi="Times New Roman"/>
                <w:sz w:val="18"/>
                <w:szCs w:val="18"/>
                <w:lang w:val="en-GB"/>
              </w:rPr>
              <w:t>iTaxTotal</w:t>
            </w:r>
            <w:bookmarkEnd w:id="24"/>
            <w:r>
              <w:rPr>
                <w:rFonts w:ascii="Times New Roman" w:hAnsi="Times New Roman"/>
                <w:sz w:val="18"/>
                <w:szCs w:val="18"/>
                <w:lang w:val="en-GB"/>
              </w:rPr>
              <w:t>}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${</w:t>
            </w:r>
            <w:bookmarkStart w:id="25" w:name="__DdeLink__148_3515492271"/>
            <w:r>
              <w:rPr>
                <w:rFonts w:ascii="Times New Roman" w:hAnsi="Times New Roman"/>
                <w:sz w:val="18"/>
                <w:szCs w:val="18"/>
                <w:lang w:val="en-GB"/>
              </w:rPr>
              <w:t>iProdTotal</w:t>
            </w:r>
            <w:bookmarkEnd w:id="25"/>
            <w:r>
              <w:rPr>
                <w:rFonts w:ascii="Times New Roman" w:hAnsi="Times New Roman"/>
                <w:sz w:val="18"/>
                <w:szCs w:val="18"/>
                <w:lang w:val="en-GB"/>
              </w:rPr>
              <w:t>}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${</w:t>
            </w:r>
            <w:bookmarkStart w:id="26" w:name="__DdeLink__148_35154922721"/>
            <w:r>
              <w:rPr>
                <w:rFonts w:ascii="Times New Roman" w:hAnsi="Times New Roman"/>
                <w:sz w:val="18"/>
                <w:szCs w:val="18"/>
                <w:lang w:val="en-GB"/>
              </w:rPr>
              <w:t>iProfTotal</w:t>
            </w:r>
            <w:bookmarkEnd w:id="26"/>
            <w:r>
              <w:rPr>
                <w:rFonts w:ascii="Times New Roman" w:hAnsi="Times New Roman"/>
                <w:sz w:val="18"/>
                <w:szCs w:val="18"/>
                <w:lang w:val="en-GB"/>
              </w:rPr>
              <w:t>}</w:t>
            </w:r>
          </w:p>
        </w:tc>
        <w:tc>
          <w:tcPr>
            <w:tcW w:w="13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Отчет сформирован автоматически клиентской системой ${</w:t>
      </w:r>
      <w:bookmarkStart w:id="27" w:name="__DdeLink__4235_1591231625"/>
      <w:r>
        <w:rPr>
          <w:rFonts w:ascii="Times New Roman" w:hAnsi="Times New Roman"/>
          <w:sz w:val="24"/>
          <w:szCs w:val="24"/>
          <w:lang w:val="en-GB"/>
        </w:rPr>
        <w:t>systemName</w:t>
      </w:r>
      <w:bookmarkEnd w:id="27"/>
      <w:r>
        <w:rPr>
          <w:rFonts w:ascii="Times New Roman" w:hAnsi="Times New Roman"/>
          <w:sz w:val="24"/>
          <w:szCs w:val="24"/>
          <w:lang w:val="en-GB"/>
        </w:rPr>
        <w:t xml:space="preserve">} компании Webmart Group.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Выделение жирным"/>
    <w:rPr>
      <w:b/>
      <w:bCs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1">
    <w:name w:val="Содержимое таблицы"/>
    <w:basedOn w:val="Normal"/>
    <w:pPr/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