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National Lottery Community Fund — National Lottery Awards for All England</w:t>
      </w:r>
    </w:p>
    <w:p>
      <w:r>
        <w:t xml:space="preserve">Prepared 10 September 2026. The decision is yours; this is the case for it.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tblGrid>
      <w:tr>
        <w:tc>
          <w:tcPr>
            <w:tcW w:w="0" w:type="auto"/>
          </w:tcPr>
          <w:p>
            <w:pPr>
              <w:pStyle w:val="TableHeader"/>
            </w:pPr>
            <w:r>
              <w:t xml:space="preserve"/>
            </w:r>
          </w:p>
        </w:tc>
        <w:tc>
          <w:tcPr>
            <w:tcW w:w="0" w:type="auto"/>
          </w:tcPr>
          <w:p>
            <w:pPr>
              <w:pStyle w:val="TableHeader"/>
            </w:pPr>
            <w:r>
              <w:t xml:space="preserve"/>
            </w:r>
          </w:p>
        </w:tc>
      </w:tr>
      <w:tr>
        <w:tc>
          <w:tcPr>
            <w:tcW w:w="0" w:type="auto"/>
          </w:tcPr>
          <w:p>
            <w:r>
              <w:t xml:space="preserve">Fit</w:t>
            </w:r>
          </w:p>
        </w:tc>
        <w:tc>
          <w:tcPr>
            <w:tcW w:w="0" w:type="auto"/>
          </w:tcPr>
          <w:p>
            <w:r>
              <w:t xml:space="preserve">82/100</w:t>
            </w:r>
          </w:p>
        </w:tc>
      </w:tr>
      <w:tr>
        <w:tc>
          <w:tcPr>
            <w:tcW w:w="0" w:type="auto"/>
          </w:tcPr>
          <w:p>
            <w:r>
              <w:t xml:space="preserve">Suggested ask</w:t>
            </w:r>
          </w:p>
        </w:tc>
        <w:tc>
          <w:tcPr>
            <w:tcW w:w="0" w:type="auto"/>
          </w:tcPr>
          <w:p>
            <w:r>
              <w:t xml:space="preserve">£10,000</w:t>
            </w:r>
          </w:p>
        </w:tc>
      </w:tr>
      <w:tr>
        <w:tc>
          <w:tcPr>
            <w:tcW w:w="0" w:type="auto"/>
          </w:tcPr>
          <w:p>
            <w:r>
              <w:t xml:space="preserve">Deadline</w:t>
            </w:r>
          </w:p>
        </w:tc>
        <w:tc>
          <w:tcPr>
            <w:tcW w:w="0" w:type="auto"/>
          </w:tcPr>
          <w:p>
            <w:r>
              <w:t xml:space="preserve">no deadline published</w:t>
            </w:r>
          </w:p>
        </w:tc>
      </w:tr>
      <w:tr>
        <w:tc>
          <w:tcPr>
            <w:tcW w:w="0" w:type="auto"/>
          </w:tcPr>
          <w:p>
            <w:r>
              <w:t xml:space="preserve">Estimated effort</w:t>
            </w:r>
          </w:p>
        </w:tc>
        <w:tc>
          <w:tcPr>
            <w:tcW w:w="0" w:type="auto"/>
          </w:tcPr>
          <w:p>
            <w:r>
              <w:t xml:space="preserve">about 18 hours</w:t>
            </w:r>
          </w:p>
        </w:tc>
      </w:tr>
      <w:tr>
        <w:tc>
          <w:tcPr>
            <w:tcW w:w="0" w:type="auto"/>
          </w:tcPr>
          <w:p>
            <w:r>
              <w:t xml:space="preserve">Evidence</w:t>
            </w:r>
          </w:p>
        </w:tc>
        <w:tc>
          <w:tcPr>
            <w:tcW w:w="0" w:type="auto"/>
          </w:tcPr>
          <w:p>
            <w:r>
              <w:t xml:space="preserve">8/8 claims traced to a source</w:t>
            </w:r>
          </w:p>
        </w:tc>
      </w:tr>
      <w:tr>
        <w:tc>
          <w:tcPr>
            <w:tcW w:w="0" w:type="auto"/>
          </w:tcPr>
          <w:p>
            <w:r>
              <w:t xml:space="preserve">Independent audit</w:t>
            </w:r>
          </w:p>
        </w:tc>
        <w:tc>
          <w:tcPr>
            <w:tcW w:w="0" w:type="auto"/>
          </w:tcPr>
          <w:p>
            <w:r>
              <w:t xml:space="preserve">pass, 100% grounded</w:t>
            </w:r>
          </w:p>
        </w:tc>
      </w:tr>
    </w:tbl>
    <w:p/>
    <w:p>
      <w:pPr>
        <w:pStyle w:val="Heading1"/>
      </w:pPr>
      <w:r>
        <w:t xml:space="preserve">Why this one</w:t>
      </w:r>
    </w:p>
    <w:p>
      <w:pPr>
        <w:pStyle w:val="Bullet"/>
      </w:pPr>
      <w:r>
        <w:t xml:space="preserve">•	funder has backed GB-CHC organisations (56% of awards)</w:t>
      </w:r>
    </w:p>
    <w:p>
      <w:pPr>
        <w:pStyle w:val="Bullet"/>
      </w:pPr>
      <w:r>
        <w:t xml:space="preserve">•	£10,000 sits inside this programme's stated range (£300 to £20,000)</w:t>
      </w:r>
    </w:p>
    <w:p>
      <w:pPr>
        <w:pStyle w:val="Heading1"/>
      </w:pPr>
      <w:r>
        <w:t xml:space="preserve">Your own record</w:t>
      </w:r>
    </w:p>
    <w:p>
      <w:pPr>
        <w:pStyle w:val="Bullet"/>
      </w:pPr>
      <w:r>
        <w:t xml:space="preserve">•	your own win rate is 64% across 14 decided applications (indicative)</w:t>
      </w:r>
    </w:p>
    <w:p>
      <w:pPr>
        <w:pStyle w:val="Heading1"/>
      </w:pPr>
      <w:r>
        <w:t xml:space="preserve">Before you start</w:t>
      </w:r>
    </w:p>
    <w:p>
      <w:r>
        <w:t xml:space="preserve">They will ask for these, and ORG.md does not evidence them:</w:t>
      </w:r>
    </w:p>
    <w:p>
      <w:pPr>
        <w:pStyle w:val="Bullet"/>
      </w:pPr>
      <w:r>
        <w:t xml:space="preserve">•	Whether we can realistically expand from three sittings to four sittings per week with the new freezer (operational capacity question)</w:t>
      </w:r>
    </w:p>
    <w:p>
      <w:pPr>
        <w:pStyle w:val="Bullet"/>
      </w:pPr>
      <w:r>
        <w:t xml:space="preserve">•	Confirmation that 200 additional members annually is an achievable target with improved freezer capacity</w:t>
      </w:r>
    </w:p>
    <w:p>
      <w:pPr>
        <w:pStyle w:val="Bullet"/>
      </w:pPr>
      <w:r>
        <w:t xml:space="preserve">•	Specific metrics or thresholds we will track to measure success of the additional sitting</w:t>
      </w:r>
    </w:p>
    <w:p>
      <w:pPr>
        <w:pStyle w:val="Heading1"/>
      </w:pPr>
      <w:r>
        <w:t xml:space="preserve">The reasoning</w:t>
      </w:r>
    </w:p>
    <w:p>
      <w:r>
        <w:t xml:space="preserve">Rye Lane Community Kitchen is a strong fit for this Awards for All programme. The organisation is a registered charity (GB-CHC, 56% of funder's awards), operating in England (the funder's explicit geography for this programme). The £10,000 ask sits at the funder's median award and is well within the stated range (£300–£20,000). Critically, this is a repeat applicant: Rye Lane received £9,700 from National Lottery Community Fund Awards for All in 2023 and has since completed that grant and maintained operational continuity. The organisation demonstrates strong evidence of impact (independent evaluation June 2025, twice-yearly beneficiary surveys, quarterly monitoring), clear outcomes (74% of surveyed members eat more hot meals; members save £61/month on food), and exemplary governance (Level 3 safeguarding, 5-star food hygiene rating, unqualified audit for 3 years). The programmes (community meals, food pantry) directly align with the funder's brief to 'bring people together and improve communities'. The rolling deadline eliminates time pressure. The only minor constraint is that match funding (£6,000 available from reserves) would need board approval if required, and the organisation should be explicit about which of its unfunded priorities (freezer, van, or crèche) the grant will address. However, these are application-management issues, not disqualifiers. The application is realistic and well-founded.",</w:t>
        <w:br/>
        <w:t xml:space="preserve">&lt;parameter name="suggest_ask_gbp"&gt;10000</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n-GB"/>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240"/>
    </w:pPr>
    <w:rPr>
      <w:b/>
      <w:sz w:val="40"/>
      <w:szCs w:val="40"/>
    </w:rPr>
  </w:style>
  <w:style w:type="paragraph" w:styleId="Heading1">
    <w:name w:val="heading 1"/>
    <w:basedOn w:val="Normal"/>
    <w:next w:val="Normal"/>
    <w:qFormat/>
    <w:pPr>
      <w:keepNext/>
      <w:spacing w:before="240" w:after="120"/>
      <w:outlineLvl w:val="0"/>
    </w:pPr>
    <w:rPr>
      <w:b/>
      <w:sz w:val="30"/>
      <w:szCs w:val="30"/>
    </w:rPr>
  </w:style>
  <w:style w:type="paragraph" w:styleId="Heading2">
    <w:name w:val="heading 2"/>
    <w:basedOn w:val="Normal"/>
    <w:next w:val="Normal"/>
    <w:qFormat/>
    <w:pPr>
      <w:keepNext/>
      <w:spacing w:before="200" w:after="80"/>
      <w:outlineLvl w:val="1"/>
    </w:pPr>
    <w:rPr>
      <w:b/>
      <w:sz w:val="26"/>
      <w:szCs w:val="26"/>
    </w:rPr>
  </w:style>
  <w:style w:type="paragraph" w:styleId="Quote">
    <w:name w:val="Quote"/>
    <w:basedOn w:val="Normal"/>
    <w:qFormat/>
    <w:pPr>
      <w:ind w:left="567"/>
    </w:pPr>
    <w:rPr>
      <w:i/>
      <w:color w:val="595959"/>
    </w:rPr>
  </w:style>
  <w:style w:type="paragraph" w:styleId="Bullet">
    <w:name w:val="Granted Bullet"/>
    <w:basedOn w:val="Normal"/>
    <w:pPr>
      <w:ind w:left="360" w:hanging="360"/>
    </w:pPr>
  </w:style>
  <w:style w:type="paragraph" w:styleId="TableHeader">
    <w:name w:val="Granted Table Header"/>
    <w:basedOn w:val="Normal"/>
    <w:rPr>
      <w: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