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Draft answer v1 — The National Lottery Community Fund — National Lottery Awards for All England</w:t>
      </w:r>
    </w:p>
    <w:p>
      <w:pPr>
        <w:pStyle w:val="Heading2"/>
      </w:pPr>
      <w:r>
        <w:t xml:space="preserve">The question</w:t>
      </w:r>
    </w:p>
    <w:p>
      <w:pPr>
        <w:pStyle w:val="Quote"/>
      </w:pPr>
      <w:r>
        <w:t xml:space="preserve">Describe the difference this funding will make, who it will reach, and how you will evidence the outcomes.</w:t>
      </w:r>
    </w:p>
    <w:p>
      <w:pPr>
        <w:pStyle w:val="Heading2"/>
      </w:pPr>
      <w:r>
        <w:t xml:space="preserve">Draft</w:t>
      </w:r>
    </w:p>
    <w:p>
      <w:r>
        <w:t xml:space="preserve">We will use this funding to replace our commercial freezer, which fails monthly and limits our capacity to serve members reliably. The new freezer will enable us to store prepared meals in advance and expand our Community meals provision from three sittings a week to four sittings, reaching an additional 200 members annually.</w:t>
      </w:r>
    </w:p>
    <w:p>
      <w:r>
        <w:t xml:space="preserve">We will reach members from Peckham and Nunhead wards, Southwark, who currently access our Community meals and Food Pantry. Our members are typically on low incomes and struggle to afford regular hot meals; 74% of surveyed members reported eating at least one hot meal a day more often than before attending our sittings.</w:t>
      </w:r>
    </w:p>
    <w:p>
      <w:r>
        <w:t xml:space="preserve">We will evidence outcomes through our established monitoring systems. We run beneficiary surveys twice yearly with a 31% response rate, asking members about meal frequency and food security. We will track the number of additional meals served at the new fourth sitting and measure whether members report further improvements in eating patterns. We submit quarterly monitoring returns to Southwark Council, which will include data on freezer reliability and meal output. Our independent evaluation by Southwark Impact Partnership, published June 2025, provides a baseline for comparison.</w:t>
      </w:r>
    </w:p>
    <w:p>
      <w:pPr>
        <w:pStyle w:val="Heading2"/>
      </w:pPr>
      <w:r>
        <w:t xml:space="preserve">Before you use this</w:t>
      </w:r>
    </w:p>
    <w:p>
      <w:r>
        <w:t xml:space="preserve">Drafted by Granted from your ORG.md and your past applications. Check every figure against 'Evidence and sources' before it goes anywhere, and declare AI assistance if the funder asks.</w:t>
      </w:r>
    </w:p>
    <w:p>
      <w:pPr>
        <w:pStyle w:val="Heading2"/>
      </w:pPr>
      <w:r>
        <w:t xml:space="preserve">Gaps to fill</w:t>
      </w:r>
    </w:p>
    <w:p>
      <w:pPr>
        <w:pStyle w:val="Bullet"/>
      </w:pPr>
      <w:r>
        <w:t xml:space="preserve">•	Whether we can realistically expand from three sittings to four sittings per week with the new freezer (operational capacity question)</w:t>
      </w:r>
    </w:p>
    <w:p>
      <w:pPr>
        <w:pStyle w:val="Bullet"/>
      </w:pPr>
      <w:r>
        <w:t xml:space="preserve">•	Confirmation that 200 additional members annually is an achievable target with improved freezer capacity</w:t>
      </w:r>
    </w:p>
    <w:p>
      <w:pPr>
        <w:pStyle w:val="Bullet"/>
      </w:pPr>
      <w:r>
        <w:t xml:space="preserve">•	Specific metrics or thresholds we will track to measure success of the additional sitting</w:t>
      </w:r>
    </w:p>
    <w:sectPr>
      <w:pgSz w:w="11906" w:h="16838"/>
      <w:pgMar w:top="1440" w:right="1440" w:bottom="1440" w:left="144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2"/>
        <w:szCs w:val="22"/>
        <w:lang w:val="en-GB"/>
      </w:rPr>
    </w:rPrDefault>
    <w:pPrDefault>
      <w:pPr>
        <w:spacing w:after="120" w:line="276" w:lineRule="auto"/>
      </w:pPr>
    </w:pPrDefault>
  </w:docDefaults>
  <w:style w:type="paragraph" w:default="1" w:styleId="Normal">
    <w:name w:val="Normal"/>
    <w:qFormat/>
  </w:style>
  <w:style w:type="paragraph" w:styleId="Title">
    <w:name w:val="Title"/>
    <w:basedOn w:val="Normal"/>
    <w:next w:val="Normal"/>
    <w:qFormat/>
    <w:pPr>
      <w:spacing w:after="240"/>
    </w:pPr>
    <w:rPr>
      <w:b/>
      <w:sz w:val="40"/>
      <w:szCs w:val="40"/>
    </w:rPr>
  </w:style>
  <w:style w:type="paragraph" w:styleId="Heading1">
    <w:name w:val="heading 1"/>
    <w:basedOn w:val="Normal"/>
    <w:next w:val="Normal"/>
    <w:qFormat/>
    <w:pPr>
      <w:keepNext/>
      <w:spacing w:before="240" w:after="120"/>
      <w:outlineLvl w:val="0"/>
    </w:pPr>
    <w:rPr>
      <w:b/>
      <w:sz w:val="30"/>
      <w:szCs w:val="30"/>
    </w:rPr>
  </w:style>
  <w:style w:type="paragraph" w:styleId="Heading2">
    <w:name w:val="heading 2"/>
    <w:basedOn w:val="Normal"/>
    <w:next w:val="Normal"/>
    <w:qFormat/>
    <w:pPr>
      <w:keepNext/>
      <w:spacing w:before="200" w:after="80"/>
      <w:outlineLvl w:val="1"/>
    </w:pPr>
    <w:rPr>
      <w:b/>
      <w:sz w:val="26"/>
      <w:szCs w:val="26"/>
    </w:rPr>
  </w:style>
  <w:style w:type="paragraph" w:styleId="Quote">
    <w:name w:val="Quote"/>
    <w:basedOn w:val="Normal"/>
    <w:qFormat/>
    <w:pPr>
      <w:ind w:left="567"/>
    </w:pPr>
    <w:rPr>
      <w:i/>
      <w:color w:val="595959"/>
    </w:rPr>
  </w:style>
  <w:style w:type="paragraph" w:styleId="Bullet">
    <w:name w:val="Granted Bullet"/>
    <w:basedOn w:val="Normal"/>
    <w:pPr>
      <w:ind w:left="360" w:hanging="360"/>
    </w:pPr>
  </w:style>
  <w:style w:type="paragraph" w:styleId="TableHeader">
    <w:name w:val="Granted Table Header"/>
    <w:basedOn w:val="Normal"/>
    <w:rPr>
      <w:b/>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