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Evidence and sources — The National Lottery Community Fund — National Lottery Awards for All England</w:t>
      </w:r>
    </w:p>
    <w:p>
      <w:r>
        <w:t xml:space="preserve">Every claim in the draft, with where it came from. A claim with no source should come out of the draft, or its evidence go into ORG.md.</w:t>
      </w:r>
    </w:p>
    <w:p>
      <w:pPr>
        <w:pStyle w:val="Heading2"/>
      </w:pPr>
      <w:r>
        <w:t xml:space="preserve">1. Our commercial freezer fails monthly</w:t>
      </w:r>
    </w:p>
    <w:p>
      <w:pPr>
        <w:pStyle w:val="Bullet"/>
      </w:pPr>
      <w:r>
        <w:t xml:space="preserve">•	ORG.md, Funding history — ORG.md#L51 — "Currently unfunded for: replacement commercial freezer (the 2016 unit fails monthly), a second-hand refrigerated van,..."</w:t>
      </w:r>
    </w:p>
    <w:p>
      <w:pPr>
        <w:pStyle w:val="Heading2"/>
      </w:pPr>
      <w:r>
        <w:t xml:space="preserve">2. We currently serve members at three sittings a week from Rye Lane Baptist Hall</w:t>
      </w:r>
    </w:p>
    <w:p>
      <w:pPr>
        <w:pStyle w:val="Bullet"/>
      </w:pPr>
      <w:r>
        <w:t xml:space="preserve">•	ORG.md, Community meals — ORG.md#L22 — "Delivery: three sittings a week from Rye Lane Baptist Hall, no referral needed"</w:t>
      </w:r>
    </w:p>
    <w:p>
      <w:pPr>
        <w:pStyle w:val="Heading2"/>
      </w:pPr>
      <w:r>
        <w:t xml:space="preserve">3. We serve members from Peckham and Nunhead wards, Southwark</w:t>
      </w:r>
    </w:p>
    <w:p>
      <w:pPr>
        <w:pStyle w:val="Bullet"/>
      </w:pPr>
      <w:r>
        <w:t xml:space="preserve">•	ORG.md, Identity — ORG.md#L9 — "Area served: Peckham and Nunhead wards, Southwark, London"</w:t>
      </w:r>
    </w:p>
    <w:p>
      <w:pPr>
        <w:pStyle w:val="Heading2"/>
      </w:pPr>
      <w:r>
        <w:t xml:space="preserve">4. 74% of surveyed members reported eating at least one hot meal a day more often than before attending</w:t>
      </w:r>
    </w:p>
    <w:p>
      <w:pPr>
        <w:pStyle w:val="Bullet"/>
      </w:pPr>
      <w:r>
        <w:t xml:space="preserve">•	ORG.md, Community meals — ORG.md#L24 — "Outcome: 74% of surveyed members (n=180) reported eating at least one hot"</w:t>
      </w:r>
    </w:p>
    <w:p>
      <w:pPr>
        <w:pStyle w:val="Heading2"/>
      </w:pPr>
      <w:r>
        <w:t xml:space="preserve">5. We run beneficiary surveys twice yearly with a 31% response rate</w:t>
      </w:r>
    </w:p>
    <w:p>
      <w:pPr>
        <w:pStyle w:val="Bullet"/>
      </w:pPr>
      <w:r>
        <w:t xml:space="preserve">•	ORG.md, Evidence and evaluation — ORG.md#L36 — "Beneficiary survey run twice yearly since 2022, response rate 31%"</w:t>
      </w:r>
    </w:p>
    <w:p>
      <w:pPr>
        <w:pStyle w:val="Heading2"/>
      </w:pPr>
      <w:r>
        <w:t xml:space="preserve">6. We submit quarterly monitoring returns to Southwark Council</w:t>
      </w:r>
    </w:p>
    <w:p>
      <w:pPr>
        <w:pStyle w:val="Bullet"/>
      </w:pPr>
      <w:r>
        <w:t xml:space="preserve">•	ORG.md, Evidence and evaluation — ORG.md#L37 — "Quarterly monitoring returns submitted to Southwark Council since 2021"</w:t>
      </w:r>
    </w:p>
    <w:p>
      <w:pPr>
        <w:pStyle w:val="Heading2"/>
      </w:pPr>
      <w:r>
        <w:t xml:space="preserve">7. Our independent evaluation by Southwark Impact Partnership was published June 2025</w:t>
      </w:r>
    </w:p>
    <w:p>
      <w:pPr>
        <w:pStyle w:val="Bullet"/>
      </w:pPr>
      <w:r>
        <w:t xml:space="preserve">•	ORG.md, Evidence and evaluation — ORG.md#L35 — "Independent evaluation by Southwark Impact Partnership, published June 2025"</w:t>
      </w:r>
    </w:p>
    <w:p>
      <w:pPr>
        <w:pStyle w:val="Heading2"/>
      </w:pPr>
      <w:r>
        <w:t xml:space="preserve">8. Suggested ask is anchored on The National Lottery Community Fund's award history (300 grants).</w:t>
      </w:r>
    </w:p>
    <w:p>
      <w:pPr>
        <w:pStyle w:val="Bullet"/>
      </w:pPr>
      <w:r>
        <w:t xml:space="preserve">•	360Giving award history, The National Lottery Community Fund — https://grantnav.threesixtygiving.org/org/GB-GOR-PB188 — "median £10,000; p10-p90 £10,000-£10,000" — accessed 2026-09-10</w:t>
      </w:r>
    </w:p>
    <w:p>
      <w:pPr>
        <w:pStyle w:val="Heading1"/>
      </w:pPr>
      <w:r>
        <w:t xml:space="preserve">Needs a person</w:t>
      </w:r>
    </w:p>
    <w:p>
      <w:pPr>
        <w:pStyle w:val="Bullet"/>
      </w:pPr>
      <w:r>
        <w:t xml:space="preserve">•	Whether we can realistically expand from three sittings to four sittings per week with the new freezer (operational capacity question)</w:t>
      </w:r>
    </w:p>
    <w:p>
      <w:pPr>
        <w:pStyle w:val="Bullet"/>
      </w:pPr>
      <w:r>
        <w:t xml:space="preserve">•	Confirmation that 200 additional members annually is an achievable target with improved freezer capacity</w:t>
      </w:r>
    </w:p>
    <w:p>
      <w:pPr>
        <w:pStyle w:val="Bullet"/>
      </w:pPr>
      <w:r>
        <w:t xml:space="preserve">•	Specific metrics or thresholds we will track to measure success of the additional sitting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6"/>
      <w:szCs w:val="26"/>
    </w:rPr>
  </w:style>
  <w:style w:type="paragraph" w:styleId="Quote">
    <w:name w:val="Quote"/>
    <w:basedOn w:val="Normal"/>
    <w:qFormat/>
    <w:pPr>
      <w:ind w:left="567"/>
    </w:pPr>
    <w:rPr>
      <w:i/>
      <w:color w:val="595959"/>
    </w:rPr>
  </w:style>
  <w:style w:type="paragraph" w:styleId="Bullet">
    <w:name w:val="Granted Bullet"/>
    <w:basedOn w:val="Normal"/>
    <w:pPr>
      <w:ind w:left="360" w:hanging="360"/>
    </w:pPr>
  </w:style>
  <w:style w:type="paragraph" w:styleId="TableHeader">
    <w:name w:val="Granted Table Header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