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National Lottery Community Fund — National Lottery Awards for All England</w:t>
      </w:r>
    </w:p>
    <w:p>
      <w:r>
        <w:t xml:space="preserve">Prepared 14 September 2026. The decision is yours; this is the case for it.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/>
        <w:gridCol/>
      </w:tblGrid>
      <w:tr>
        <w:tc>
          <w:tcPr>
            <w:tcW w:w="0" w:type="auto"/>
          </w:tcPr>
          <w:p>
            <w:pPr>
              <w:pStyle w:val="TableHeader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Fit</w:t>
            </w:r>
          </w:p>
        </w:tc>
        <w:tc>
          <w:tcPr>
            <w:tcW w:w="0" w:type="auto"/>
          </w:tcPr>
          <w:p>
            <w:r>
              <w:t xml:space="preserve">79/100</w:t>
            </w:r>
          </w:p>
        </w:tc>
      </w:tr>
      <w:tr>
        <w:tc>
          <w:tcPr>
            <w:tcW w:w="0" w:type="auto"/>
          </w:tcPr>
          <w:p>
            <w:r>
              <w:t xml:space="preserve">Suggested ask</w:t>
            </w:r>
          </w:p>
        </w:tc>
        <w:tc>
          <w:tcPr>
            <w:tcW w:w="0" w:type="auto"/>
          </w:tcPr>
          <w:p>
            <w:r>
              <w:t xml:space="preserve">£7,706</w:t>
            </w:r>
          </w:p>
        </w:tc>
      </w:tr>
      <w:tr>
        <w:tc>
          <w:tcPr>
            <w:tcW w:w="0" w:type="auto"/>
          </w:tcPr>
          <w:p>
            <w:r>
              <w:t xml:space="preserve">Deadline</w:t>
            </w:r>
          </w:p>
        </w:tc>
        <w:tc>
          <w:tcPr>
            <w:tcW w:w="0" w:type="auto"/>
          </w:tcPr>
          <w:p>
            <w:r>
              <w:t xml:space="preserve">no deadline published</w:t>
            </w:r>
          </w:p>
        </w:tc>
      </w:tr>
      <w:tr>
        <w:tc>
          <w:tcPr>
            <w:tcW w:w="0" w:type="auto"/>
          </w:tcPr>
          <w:p>
            <w:r>
              <w:t xml:space="preserve">Estimated effort</w:t>
            </w:r>
          </w:p>
        </w:tc>
        <w:tc>
          <w:tcPr>
            <w:tcW w:w="0" w:type="auto"/>
          </w:tcPr>
          <w:p>
            <w:r>
              <w:t xml:space="preserve">about 24 hours</w:t>
            </w:r>
          </w:p>
        </w:tc>
      </w:tr>
      <w:tr>
        <w:tc>
          <w:tcPr>
            <w:tcW w:w="0" w:type="auto"/>
          </w:tcPr>
          <w:p>
            <w:r>
              <w:t xml:space="preserve">Evidence</w:t>
            </w:r>
          </w:p>
        </w:tc>
        <w:tc>
          <w:tcPr>
            <w:tcW w:w="0" w:type="auto"/>
          </w:tcPr>
          <w:p>
            <w:r>
              <w:t xml:space="preserve">11/11 claims traced to a source</w:t>
            </w:r>
          </w:p>
        </w:tc>
      </w:tr>
      <w:tr>
        <w:tc>
          <w:tcPr>
            <w:tcW w:w="0" w:type="auto"/>
          </w:tcPr>
          <w:p>
            <w:r>
              <w:t xml:space="preserve">Independent audit</w:t>
            </w:r>
          </w:p>
        </w:tc>
        <w:tc>
          <w:tcPr>
            <w:tcW w:w="0" w:type="auto"/>
          </w:tcPr>
          <w:p>
            <w:r>
              <w:t xml:space="preserve">pass, 100% grounded</w:t>
            </w:r>
          </w:p>
        </w:tc>
      </w:tr>
    </w:tbl>
    <w:p/>
    <w:p>
      <w:pPr>
        <w:pStyle w:val="Heading1"/>
      </w:pPr>
      <w:r>
        <w:t xml:space="preserve">Why this one</w:t>
      </w:r>
    </w:p>
    <w:p>
      <w:pPr>
        <w:pStyle w:val="Bullet"/>
      </w:pPr>
      <w:r>
        <w:t xml:space="preserve">•	funder has backed GB-CHC organisations (38% of awards)</w:t>
      </w:r>
    </w:p>
    <w:p>
      <w:pPr>
        <w:pStyle w:val="Bullet"/>
      </w:pPr>
      <w:r>
        <w:t xml:space="preserve">•	£7,706 sits inside this programme's stated range (£300 to £20,000)</w:t>
      </w:r>
    </w:p>
    <w:p>
      <w:pPr>
        <w:pStyle w:val="Heading1"/>
      </w:pPr>
      <w:r>
        <w:t xml:space="preserve">Your own record</w:t>
      </w:r>
    </w:p>
    <w:p>
      <w:pPr>
        <w:pStyle w:val="Bullet"/>
      </w:pPr>
      <w:r>
        <w:t xml:space="preserve">•	your own win rate is 64% across 14 decided applications (indicative)</w:t>
      </w:r>
    </w:p>
    <w:p>
      <w:pPr>
        <w:pStyle w:val="Heading1"/>
      </w:pPr>
      <w:r>
        <w:t xml:space="preserve">Before you start</w:t>
      </w:r>
    </w:p>
    <w:p>
      <w:r>
        <w:t xml:space="preserve">They will ask for these, and ORG.md does not evidence them:</w:t>
      </w:r>
    </w:p>
    <w:p>
      <w:pPr>
        <w:pStyle w:val="Bullet"/>
      </w:pPr>
      <w:r>
        <w:t xml:space="preserve">•	No stated evidence of match funding requirement in the call brief, though org has £6,000 in reserves available with board approval — this will need clarifying before application</w:t>
      </w:r>
    </w:p>
    <w:p>
      <w:pPr>
        <w:pStyle w:val="Bullet"/>
      </w:pPr>
      <w:r>
        <w:t xml:space="preserve">•	Specific detail on how the £7,706 will be deployed (e.g., additional sittings per week, expansion of Pantry membership capacity, or other operational improvements)</w:t>
      </w:r>
    </w:p>
    <w:p>
      <w:pPr>
        <w:pStyle w:val="Bullet"/>
      </w:pPr>
      <w:r>
        <w:t xml:space="preserve">•	Quantified targets for expanded reach—how many additional members or meals over the funding period</w:t>
      </w:r>
    </w:p>
    <w:p>
      <w:pPr>
        <w:pStyle w:val="Heading1"/>
      </w:pPr>
      <w:r>
        <w:t xml:space="preserve">The reasoning</w:t>
      </w:r>
    </w:p>
    <w:p>
      <w:r>
        <w:t xml:space="preserve">Strong fit. Rye Lane Community Kitchen is a registered charity (legal form verified: 38% of this funder's sample awards go to GB-CHC recipients), operating in Southwark, England, within the stated call area. The organisation has previously received Awards for All funding (£9,700 in 2023), suggesting both familiarity with this funder's process and prior confidence in their ability to deliver. The ask of £7,706 is precisely at the median of this funder's observed distribution (median £7,706; range £225–£10,000 in the sample, which aligns with the programme's stated £300–£20,000 range). The funder awards 97% of requested amounts on average, so this ask is realistic. The rolling programme has no closing date, removing time pressure. The organisation demonstrates strong governance: independent examination unqualified for 3 years, safeguarding policy current (Oct 2025), Level 3 DSL in place, and adequate insurance. Outcome evidence is robust: independent evaluation published June 2025, beneficiary surveys run twice yearly since 2022, quarterly monitoring to Southwark Council. With 1,120 beneficiaries reached and measurable impact (74% eating hot meals more frequently, £61 monthly food spend reduction), this is a credible grant application. The only minor gap is explicit confirmation of match funding requirements in the call brief — the org has £6,000 available but this would need board approval. Community meals and food pantry both address the social isolation and food insecurity that Awards for All typically prioritises. Recommendation: apply.",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sz w:val="26"/>
      <w:szCs w:val="26"/>
    </w:rPr>
  </w:style>
  <w:style w:type="paragraph" w:styleId="Quote">
    <w:name w:val="Quote"/>
    <w:basedOn w:val="Normal"/>
    <w:qFormat/>
    <w:pPr>
      <w:ind w:left="567"/>
    </w:pPr>
    <w:rPr>
      <w:i/>
      <w:color w:val="595959"/>
    </w:rPr>
  </w:style>
  <w:style w:type="paragraph" w:styleId="Bullet">
    <w:name w:val="Granted Bullet"/>
    <w:basedOn w:val="Normal"/>
    <w:pPr>
      <w:ind w:left="360" w:hanging="360"/>
    </w:pPr>
  </w:style>
  <w:style w:type="paragraph" w:styleId="TableHeader">
    <w:name w:val="Granted Table Header"/>
    <w:basedOn w:val="Normal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