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Evidence and sources — The National Lottery Community Fund — National Lottery Awards for All England</w:t>
      </w:r>
    </w:p>
    <w:p>
      <w:r>
        <w:t xml:space="preserve">Every claim in the draft, with where it came from. A claim with no source should come out of the draft, or its evidence go into ORG.md.</w:t>
      </w:r>
    </w:p>
    <w:p>
      <w:pPr>
        <w:pStyle w:val="Heading2"/>
      </w:pPr>
      <w:r>
        <w:t xml:space="preserve">1. We currently serve 1,120 individuals and 410 households each year</w:t>
      </w:r>
    </w:p>
    <w:p>
      <w:pPr>
        <w:pStyle w:val="Bullet"/>
      </w:pPr>
      <w:r>
        <w:t xml:space="preserve">•	ORG.md, Scale — ORG.md#L17 — "Beneficiaries reached 2025-26: 1,120 individuals, 410 households"</w:t>
      </w:r>
    </w:p>
    <w:p>
      <w:pPr>
        <w:pStyle w:val="Heading2"/>
      </w:pPr>
      <w:r>
        <w:t xml:space="preserve">2. We serve members across Peckham and Nunhead wards in Southwark</w:t>
      </w:r>
    </w:p>
    <w:p>
      <w:pPr>
        <w:pStyle w:val="Bullet"/>
      </w:pPr>
      <w:r>
        <w:t xml:space="preserve">•	ORG.md, Identity — ORG.md#L9 — "Area served: Peckham and Nunhead wards, Southwark, London"</w:t>
      </w:r>
    </w:p>
    <w:p>
      <w:pPr>
        <w:pStyle w:val="Heading2"/>
      </w:pPr>
      <w:r>
        <w:t xml:space="preserve">3. 74% of surveyed members (n=180) reported eating at least one hot meal a day more often than before attending</w:t>
      </w:r>
    </w:p>
    <w:p>
      <w:pPr>
        <w:pStyle w:val="Bullet"/>
      </w:pPr>
      <w:r>
        <w:t xml:space="preserve">•	ORG.md, Community meals — ORG.md#L24 — "Outcome: 74% of surveyed members (n=180) reported eating at least one hot"</w:t>
      </w:r>
    </w:p>
    <w:p>
      <w:pPr>
        <w:pStyle w:val="Heading2"/>
      </w:pPr>
      <w:r>
        <w:t xml:space="preserve">4. Food Pantry members save an average of £61 monthly on food spend</w:t>
      </w:r>
    </w:p>
    <w:p>
      <w:pPr>
        <w:pStyle w:val="Bullet"/>
      </w:pPr>
      <w:r>
        <w:t xml:space="preserve">•	ORG.md, Food pantry — ORG.md#L30 — "Outcome: members reported an average £61 monthly reduction in food spend"</w:t>
      </w:r>
    </w:p>
    <w:p>
      <w:pPr>
        <w:pStyle w:val="Heading2"/>
      </w:pPr>
      <w:r>
        <w:t xml:space="preserve">5. Community meals delivery requires no referral</w:t>
      </w:r>
    </w:p>
    <w:p>
      <w:pPr>
        <w:pStyle w:val="Bullet"/>
      </w:pPr>
      <w:r>
        <w:t xml:space="preserve">•	ORG.md, Community meals — ORG.md#L22 — "Delivery: three sittings a week from Rye Lane Baptist Hall, no referral needed"</w:t>
      </w:r>
    </w:p>
    <w:p>
      <w:pPr>
        <w:pStyle w:val="Heading2"/>
      </w:pPr>
      <w:r>
        <w:t xml:space="preserve">6. Food Pantry membership costs £4.50 weekly for approximately £22 of food</w:t>
      </w:r>
    </w:p>
    <w:p>
      <w:pPr>
        <w:pStyle w:val="Bullet"/>
      </w:pPr>
      <w:r>
        <w:t xml:space="preserve">•	ORG.md, Food pantry — ORG.md#L28 — "Delivery: membership model, £4.50 a week for approximately £22 of food"</w:t>
      </w:r>
    </w:p>
    <w:p>
      <w:pPr>
        <w:pStyle w:val="Heading2"/>
      </w:pPr>
      <w:r>
        <w:t xml:space="preserve">7. An independent evaluation by Southwark Impact Partnership was published in June 2025</w:t>
      </w:r>
    </w:p>
    <w:p>
      <w:pPr>
        <w:pStyle w:val="Bullet"/>
      </w:pPr>
      <w:r>
        <w:t xml:space="preserve">•	ORG.md, Evidence and evaluation — ORG.md#L35 — "Independent evaluation by Southwark Impact Partnership, published June 2025"</w:t>
      </w:r>
    </w:p>
    <w:p>
      <w:pPr>
        <w:pStyle w:val="Heading2"/>
      </w:pPr>
      <w:r>
        <w:t xml:space="preserve">8. We run beneficiary surveys twice yearly since 2022, with a 31% response rate</w:t>
      </w:r>
    </w:p>
    <w:p>
      <w:pPr>
        <w:pStyle w:val="Bullet"/>
      </w:pPr>
      <w:r>
        <w:t xml:space="preserve">•	ORG.md, Evidence and evaluation — ORG.md#L36 — "Beneficiary survey run twice yearly since 2022, response rate 31%"</w:t>
      </w:r>
    </w:p>
    <w:p>
      <w:pPr>
        <w:pStyle w:val="Heading2"/>
      </w:pPr>
      <w:r>
        <w:t xml:space="preserve">9. We submit quarterly monitoring returns to Southwark Council</w:t>
      </w:r>
    </w:p>
    <w:p>
      <w:pPr>
        <w:pStyle w:val="Bullet"/>
      </w:pPr>
      <w:r>
        <w:t xml:space="preserve">•	ORG.md, Evidence and evaluation — ORG.md#L37 — "Quarterly monitoring returns submitted to Southwark Council since 2021"</w:t>
      </w:r>
    </w:p>
    <w:p>
      <w:pPr>
        <w:pStyle w:val="Heading2"/>
      </w:pPr>
      <w:r>
        <w:t xml:space="preserve">10. Food Pantry member retention is currently 58% year on year</w:t>
      </w:r>
    </w:p>
    <w:p>
      <w:pPr>
        <w:pStyle w:val="Bullet"/>
      </w:pPr>
      <w:r>
        <w:t xml:space="preserve">•	ORG.md, Food pantry — ORG.md#L29 — "Volume 2025-26: 190 member households, 58% retention year on year"</w:t>
      </w:r>
    </w:p>
    <w:p>
      <w:pPr>
        <w:pStyle w:val="Heading2"/>
      </w:pPr>
      <w:r>
        <w:t xml:space="preserve">11. Suggested ask is anchored on The National Lottery Community Fund's award history (300 grants).</w:t>
      </w:r>
    </w:p>
    <w:p>
      <w:pPr>
        <w:pStyle w:val="Bullet"/>
      </w:pPr>
      <w:r>
        <w:t xml:space="preserve">•	360Giving award history, The National Lottery Community Fund — https://grantnav.threesixtygiving.org/org/GB-GOR-PB188 — "median £7,706; p10-p90 £2,182-£10,000" — accessed 2026-09-14</w:t>
      </w:r>
    </w:p>
    <w:p>
      <w:pPr>
        <w:pStyle w:val="Heading1"/>
      </w:pPr>
      <w:r>
        <w:t xml:space="preserve">Needs a person</w:t>
      </w:r>
    </w:p>
    <w:p>
      <w:pPr>
        <w:pStyle w:val="Bullet"/>
      </w:pPr>
      <w:r>
        <w:t xml:space="preserve">•	Specific detail on how the £7,706 will be deployed (e.g., additional sittings per week, expansion of Pantry membership capacity, or other operational improvements)</w:t>
      </w:r>
    </w:p>
    <w:p>
      <w:pPr>
        <w:pStyle w:val="Bullet"/>
      </w:pPr>
      <w:r>
        <w:t xml:space="preserve">•	Quantified targets for expanded reach—how many additional members or meals over the funding period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6"/>
      <w:szCs w:val="26"/>
    </w:rPr>
  </w:style>
  <w:style w:type="paragraph" w:styleId="Quote">
    <w:name w:val="Quote"/>
    <w:basedOn w:val="Normal"/>
    <w:qFormat/>
    <w:pPr>
      <w:ind w:left="567"/>
    </w:pPr>
    <w:rPr>
      <w:i/>
      <w:color w:val="595959"/>
    </w:rPr>
  </w:style>
  <w:style w:type="paragraph" w:styleId="Bullet">
    <w:name w:val="Granted Bullet"/>
    <w:basedOn w:val="Normal"/>
    <w:pPr>
      <w:ind w:left="360" w:hanging="360"/>
    </w:pPr>
  </w:style>
  <w:style w:type="paragraph" w:styleId="TableHeader">
    <w:name w:val="Granted Table Header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