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2C55E" w14:textId="77777777" w:rsidR="00711A69" w:rsidRPr="00711A69" w:rsidRDefault="00711A69" w:rsidP="00711A69">
      <w:r w:rsidRPr="00711A69">
        <w:t xml:space="preserve">Based on aggregated reviews (Trustpilot, G2, Capterra, </w:t>
      </w:r>
      <w:proofErr w:type="spellStart"/>
      <w:r w:rsidRPr="00711A69">
        <w:t>PissedConsumer</w:t>
      </w:r>
      <w:proofErr w:type="spellEnd"/>
      <w:r w:rsidRPr="00711A69">
        <w:t xml:space="preserve">, ConsumerComplaints.in), here are the top 3 recurring complaints. Note upfront: </w:t>
      </w:r>
      <w:proofErr w:type="spellStart"/>
      <w:r w:rsidRPr="00711A69">
        <w:rPr>
          <w:b/>
          <w:bCs/>
        </w:rPr>
        <w:t>Razorpay</w:t>
      </w:r>
      <w:proofErr w:type="spellEnd"/>
      <w:r w:rsidRPr="00711A69">
        <w:rPr>
          <w:b/>
          <w:bCs/>
        </w:rPr>
        <w:t xml:space="preserve"> doesn't publicly disclose exact complaint counts or ₹ financial loss figures</w:t>
      </w:r>
      <w:r w:rsidRPr="00711A69">
        <w:t xml:space="preserve"> — no such dataset exists publicly. What I've quantified below is </w:t>
      </w:r>
      <w:r w:rsidRPr="00711A69">
        <w:rPr>
          <w:i/>
          <w:iCs/>
        </w:rPr>
        <w:t>review-based prevalence</w:t>
      </w:r>
      <w:r w:rsidRPr="00711A69">
        <w:t xml:space="preserve"> (share of negative mentions), not verified incident counts.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  <w:gridCol w:w="2134"/>
        <w:gridCol w:w="3238"/>
        <w:gridCol w:w="3415"/>
      </w:tblGrid>
      <w:tr w:rsidR="00711A69" w:rsidRPr="00711A69" w14:paraId="337768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6A8A6D" w14:textId="77777777" w:rsidR="00711A69" w:rsidRPr="00711A69" w:rsidRDefault="00711A69" w:rsidP="00711A69">
            <w:pPr>
              <w:rPr>
                <w:b/>
                <w:bCs/>
              </w:rPr>
            </w:pPr>
            <w:r w:rsidRPr="00711A69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074D6B4A" w14:textId="77777777" w:rsidR="00711A69" w:rsidRPr="00711A69" w:rsidRDefault="00711A69" w:rsidP="00711A69">
            <w:pPr>
              <w:rPr>
                <w:b/>
                <w:bCs/>
              </w:rPr>
            </w:pPr>
            <w:r w:rsidRPr="00711A69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4019BABE" w14:textId="77777777" w:rsidR="00711A69" w:rsidRPr="00711A69" w:rsidRDefault="00711A69" w:rsidP="00711A69">
            <w:pPr>
              <w:rPr>
                <w:b/>
                <w:bCs/>
              </w:rPr>
            </w:pPr>
            <w:r w:rsidRPr="00711A69">
              <w:rPr>
                <w:b/>
                <w:bCs/>
              </w:rPr>
              <w:t>Frequency (share of negative reviews/mentions)</w:t>
            </w:r>
          </w:p>
        </w:tc>
        <w:tc>
          <w:tcPr>
            <w:tcW w:w="0" w:type="auto"/>
            <w:vAlign w:val="center"/>
            <w:hideMark/>
          </w:tcPr>
          <w:p w14:paraId="361DE217" w14:textId="77777777" w:rsidR="00711A69" w:rsidRPr="00711A69" w:rsidRDefault="00711A69" w:rsidP="00711A69">
            <w:pPr>
              <w:rPr>
                <w:b/>
                <w:bCs/>
              </w:rPr>
            </w:pPr>
            <w:r w:rsidRPr="00711A69">
              <w:rPr>
                <w:b/>
                <w:bCs/>
              </w:rPr>
              <w:t>Typical Impact / Est. "Loss" Signal</w:t>
            </w:r>
          </w:p>
        </w:tc>
      </w:tr>
      <w:tr w:rsidR="00711A69" w:rsidRPr="00711A69" w14:paraId="77832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A1971" w14:textId="77777777" w:rsidR="00711A69" w:rsidRPr="00711A69" w:rsidRDefault="00711A69" w:rsidP="00711A69">
            <w:r w:rsidRPr="00711A69">
              <w:t>1</w:t>
            </w:r>
          </w:p>
        </w:tc>
        <w:tc>
          <w:tcPr>
            <w:tcW w:w="0" w:type="auto"/>
            <w:vAlign w:val="center"/>
            <w:hideMark/>
          </w:tcPr>
          <w:p w14:paraId="43AEC46A" w14:textId="77777777" w:rsidR="00711A69" w:rsidRPr="00711A69" w:rsidRDefault="00711A69" w:rsidP="00711A69">
            <w:r w:rsidRPr="00711A69">
              <w:rPr>
                <w:b/>
                <w:bCs/>
              </w:rPr>
              <w:t>Account freezes / rolling reserves</w:t>
            </w:r>
            <w:r w:rsidRPr="00711A69">
              <w:t xml:space="preserve"> (funds held during compliance-risk review, sudden suspension)</w:t>
            </w:r>
          </w:p>
        </w:tc>
        <w:tc>
          <w:tcPr>
            <w:tcW w:w="0" w:type="auto"/>
            <w:vAlign w:val="center"/>
            <w:hideMark/>
          </w:tcPr>
          <w:p w14:paraId="22B1F179" w14:textId="77777777" w:rsidR="00711A69" w:rsidRPr="00711A69" w:rsidRDefault="00711A69" w:rsidP="00711A69">
            <w:r w:rsidRPr="00711A69">
              <w:t>Most cited issue on Trustpilot &amp; Reddit; Trustpilot negative reviews cite delayed refunds, hidden fees, and occasional account freezes. 10–15% of unresolved cases get escalated to regulators like RBI or consumer courts</w:t>
            </w:r>
          </w:p>
        </w:tc>
        <w:tc>
          <w:tcPr>
            <w:tcW w:w="0" w:type="auto"/>
            <w:vAlign w:val="center"/>
            <w:hideMark/>
          </w:tcPr>
          <w:p w14:paraId="1F897611" w14:textId="77777777" w:rsidR="00711A69" w:rsidRPr="00711A69" w:rsidRDefault="00711A69" w:rsidP="00711A69">
            <w:r w:rsidRPr="00711A69">
              <w:t xml:space="preserve">No disclosed ₹ figure; inferred cost = merchant churn + reputational/regulatory risk, not a hard number </w:t>
            </w:r>
            <w:proofErr w:type="spellStart"/>
            <w:r w:rsidRPr="00711A69">
              <w:t>Razorpay</w:t>
            </w:r>
            <w:proofErr w:type="spellEnd"/>
            <w:r w:rsidRPr="00711A69">
              <w:t xml:space="preserve"> reports</w:t>
            </w:r>
          </w:p>
        </w:tc>
      </w:tr>
      <w:tr w:rsidR="00711A69" w:rsidRPr="00711A69" w14:paraId="60B51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02860" w14:textId="77777777" w:rsidR="00711A69" w:rsidRPr="00711A69" w:rsidRDefault="00711A69" w:rsidP="00711A69">
            <w:r w:rsidRPr="00711A69">
              <w:t>2</w:t>
            </w:r>
          </w:p>
        </w:tc>
        <w:tc>
          <w:tcPr>
            <w:tcW w:w="0" w:type="auto"/>
            <w:vAlign w:val="center"/>
            <w:hideMark/>
          </w:tcPr>
          <w:p w14:paraId="7E59F4F7" w14:textId="77777777" w:rsidR="00711A69" w:rsidRPr="00711A69" w:rsidRDefault="00711A69" w:rsidP="00711A69">
            <w:r w:rsidRPr="00711A69">
              <w:rPr>
                <w:b/>
                <w:bCs/>
              </w:rPr>
              <w:t>Delayed/failed refunds &amp; settlements</w:t>
            </w:r>
            <w:r w:rsidRPr="00711A69">
              <w:t xml:space="preserve"> (money debited, not credited; T+2 to T+</w:t>
            </w:r>
            <w:proofErr w:type="gramStart"/>
            <w:r w:rsidRPr="00711A69">
              <w:t>7 day</w:t>
            </w:r>
            <w:proofErr w:type="gramEnd"/>
            <w:r w:rsidRPr="00711A69">
              <w:t xml:space="preserve"> delays)</w:t>
            </w:r>
          </w:p>
        </w:tc>
        <w:tc>
          <w:tcPr>
            <w:tcW w:w="0" w:type="auto"/>
            <w:vAlign w:val="center"/>
            <w:hideMark/>
          </w:tcPr>
          <w:p w14:paraId="5C179EF1" w14:textId="77777777" w:rsidR="00711A69" w:rsidRPr="00711A69" w:rsidRDefault="00711A69" w:rsidP="00711A69">
            <w:proofErr w:type="spellStart"/>
            <w:r w:rsidRPr="00711A69">
              <w:t>Razorpay</w:t>
            </w:r>
            <w:proofErr w:type="spellEnd"/>
            <w:r w:rsidRPr="00711A69">
              <w:t xml:space="preserve"> has ~1,990 reviews on </w:t>
            </w:r>
            <w:proofErr w:type="spellStart"/>
            <w:r w:rsidRPr="00711A69">
              <w:t>PissedConsumer</w:t>
            </w:r>
            <w:proofErr w:type="spellEnd"/>
            <w:r w:rsidRPr="00711A69">
              <w:t xml:space="preserve"> with an average rating of 1.7/5, with recurring refund and billing complaints</w:t>
            </w:r>
          </w:p>
        </w:tc>
        <w:tc>
          <w:tcPr>
            <w:tcW w:w="0" w:type="auto"/>
            <w:vAlign w:val="center"/>
            <w:hideMark/>
          </w:tcPr>
          <w:p w14:paraId="11395D18" w14:textId="77777777" w:rsidR="00711A69" w:rsidRPr="00711A69" w:rsidRDefault="00711A69" w:rsidP="00711A69">
            <w:r w:rsidRPr="00711A69">
              <w:t xml:space="preserve">Cross-period reconciliation issue — refund reversals landing at T+5 to T+7 </w:t>
            </w:r>
            <w:proofErr w:type="gramStart"/>
            <w:r w:rsidRPr="00711A69">
              <w:t>are</w:t>
            </w:r>
            <w:proofErr w:type="gramEnd"/>
            <w:r w:rsidRPr="00711A69">
              <w:t xml:space="preserve"> called the top source of unresolved reconciliation variance among Indian merchants; no public loss figure</w:t>
            </w:r>
          </w:p>
        </w:tc>
      </w:tr>
      <w:tr w:rsidR="00711A69" w:rsidRPr="00711A69" w14:paraId="3EEF6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40CD4" w14:textId="77777777" w:rsidR="00711A69" w:rsidRPr="00711A69" w:rsidRDefault="00711A69" w:rsidP="00711A69">
            <w:r w:rsidRPr="00711A69">
              <w:t>3</w:t>
            </w:r>
          </w:p>
        </w:tc>
        <w:tc>
          <w:tcPr>
            <w:tcW w:w="0" w:type="auto"/>
            <w:vAlign w:val="center"/>
            <w:hideMark/>
          </w:tcPr>
          <w:p w14:paraId="197CEDBF" w14:textId="77777777" w:rsidR="00711A69" w:rsidRPr="00711A69" w:rsidRDefault="00711A69" w:rsidP="00711A69">
            <w:r w:rsidRPr="00711A69">
              <w:rPr>
                <w:b/>
                <w:bCs/>
              </w:rPr>
              <w:t>Slow/unhelpful customer support</w:t>
            </w:r>
            <w:r w:rsidRPr="00711A69">
              <w:t xml:space="preserve"> (generic replies, repeated agent handoffs)</w:t>
            </w:r>
          </w:p>
        </w:tc>
        <w:tc>
          <w:tcPr>
            <w:tcW w:w="0" w:type="auto"/>
            <w:vAlign w:val="center"/>
            <w:hideMark/>
          </w:tcPr>
          <w:p w14:paraId="68B96BDC" w14:textId="77777777" w:rsidR="00711A69" w:rsidRPr="00711A69" w:rsidRDefault="00711A69" w:rsidP="00711A69">
            <w:r w:rsidRPr="00711A69">
              <w:t>68% of ~50 sampled Capterra reviews were negative, mainly citing unresponsive support; Trustpilot's ~430 reviews were "mostly negative," with support described as non-existent or unhelpful</w:t>
            </w:r>
          </w:p>
        </w:tc>
        <w:tc>
          <w:tcPr>
            <w:tcW w:w="0" w:type="auto"/>
            <w:vAlign w:val="center"/>
            <w:hideMark/>
          </w:tcPr>
          <w:p w14:paraId="2C6BCEF5" w14:textId="77777777" w:rsidR="00711A69" w:rsidRPr="00711A69" w:rsidRDefault="00711A69" w:rsidP="00711A69">
            <w:r w:rsidRPr="00711A69">
              <w:t>Drives churn to competitors; no disclosed financial figure</w:t>
            </w:r>
          </w:p>
        </w:tc>
      </w:tr>
    </w:tbl>
    <w:p w14:paraId="28979720" w14:textId="77777777" w:rsidR="00711A69" w:rsidRDefault="00711A69" w:rsidP="00711A69"/>
    <w:p w14:paraId="1AB7D5BF" w14:textId="6F0186A7" w:rsidR="00711A69" w:rsidRPr="00711A69" w:rsidRDefault="00711A69" w:rsidP="00711A69">
      <w:r w:rsidRPr="00711A69">
        <w:t xml:space="preserve">Since </w:t>
      </w:r>
      <w:proofErr w:type="spellStart"/>
      <w:r w:rsidRPr="00711A69">
        <w:t>Razorpay</w:t>
      </w:r>
      <w:proofErr w:type="spellEnd"/>
      <w:r w:rsidRPr="00711A69">
        <w:t xml:space="preserve"> doesn't disclose per-issue figures, here's a bottom-up exposure model built on their </w:t>
      </w:r>
      <w:r w:rsidRPr="00711A69">
        <w:rPr>
          <w:b/>
          <w:bCs/>
        </w:rPr>
        <w:t>verified business scale</w:t>
      </w:r>
      <w:r w:rsidRPr="00711A69">
        <w:t xml:space="preserve"> (sourced) and </w:t>
      </w:r>
      <w:r w:rsidRPr="00711A69">
        <w:rPr>
          <w:b/>
          <w:bCs/>
        </w:rPr>
        <w:t>stated assumptions</w:t>
      </w:r>
      <w:r w:rsidRPr="00711A69">
        <w:t xml:space="preserve"> (benchmarked, not disclosed) — treat the ₹ ranges as directional, not audited numbers.</w:t>
      </w:r>
    </w:p>
    <w:p w14:paraId="198FBC8F" w14:textId="77777777" w:rsidR="00711A69" w:rsidRPr="00711A69" w:rsidRDefault="00711A69" w:rsidP="00711A69">
      <w:r w:rsidRPr="00711A69">
        <w:rPr>
          <w:b/>
          <w:bCs/>
        </w:rPr>
        <w:t>Scale inputs (sourced)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9"/>
        <w:gridCol w:w="3040"/>
      </w:tblGrid>
      <w:tr w:rsidR="00711A69" w:rsidRPr="00711A69" w14:paraId="343BBE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4167F5" w14:textId="77777777" w:rsidR="00711A69" w:rsidRPr="00711A69" w:rsidRDefault="00711A69" w:rsidP="00711A69">
            <w:pPr>
              <w:rPr>
                <w:b/>
                <w:bCs/>
              </w:rPr>
            </w:pPr>
            <w:r w:rsidRPr="00711A69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7A3DE9B5" w14:textId="77777777" w:rsidR="00711A69" w:rsidRPr="00711A69" w:rsidRDefault="00711A69" w:rsidP="00711A69">
            <w:pPr>
              <w:rPr>
                <w:b/>
                <w:bCs/>
              </w:rPr>
            </w:pPr>
            <w:r w:rsidRPr="00711A69">
              <w:rPr>
                <w:b/>
                <w:bCs/>
              </w:rPr>
              <w:t>Value</w:t>
            </w:r>
          </w:p>
        </w:tc>
      </w:tr>
      <w:tr w:rsidR="00711A69" w:rsidRPr="00711A69" w14:paraId="40373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5A7ED" w14:textId="77777777" w:rsidR="00711A69" w:rsidRPr="00711A69" w:rsidRDefault="00711A69" w:rsidP="00711A69">
            <w:r w:rsidRPr="00711A69">
              <w:t>FY25 Revenue</w:t>
            </w:r>
          </w:p>
        </w:tc>
        <w:tc>
          <w:tcPr>
            <w:tcW w:w="0" w:type="auto"/>
            <w:vAlign w:val="center"/>
            <w:hideMark/>
          </w:tcPr>
          <w:p w14:paraId="3B0815C0" w14:textId="77777777" w:rsidR="00711A69" w:rsidRPr="00711A69" w:rsidRDefault="00711A69" w:rsidP="00711A69">
            <w:r w:rsidRPr="00711A69">
              <w:t>₹3,783 Cr (+65% YoY)</w:t>
            </w:r>
          </w:p>
        </w:tc>
      </w:tr>
      <w:tr w:rsidR="00711A69" w:rsidRPr="00711A69" w14:paraId="1784A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B3C5C" w14:textId="77777777" w:rsidR="00711A69" w:rsidRPr="00711A69" w:rsidRDefault="00711A69" w:rsidP="00711A69">
            <w:r w:rsidRPr="00711A69">
              <w:t>Annualized TPV</w:t>
            </w:r>
          </w:p>
        </w:tc>
        <w:tc>
          <w:tcPr>
            <w:tcW w:w="0" w:type="auto"/>
            <w:vAlign w:val="center"/>
            <w:hideMark/>
          </w:tcPr>
          <w:p w14:paraId="72A74EBD" w14:textId="77777777" w:rsidR="00711A69" w:rsidRPr="00711A69" w:rsidRDefault="00711A69" w:rsidP="00711A69">
            <w:r w:rsidRPr="00711A69">
              <w:t>$180B</w:t>
            </w:r>
          </w:p>
        </w:tc>
      </w:tr>
      <w:tr w:rsidR="00711A69" w:rsidRPr="00711A69" w14:paraId="2DFCF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CDAEE" w14:textId="77777777" w:rsidR="00711A69" w:rsidRPr="00711A69" w:rsidRDefault="00711A69" w:rsidP="00711A69">
            <w:r w:rsidRPr="00711A69">
              <w:t>Merchant base</w:t>
            </w:r>
          </w:p>
        </w:tc>
        <w:tc>
          <w:tcPr>
            <w:tcW w:w="0" w:type="auto"/>
            <w:vAlign w:val="center"/>
            <w:hideMark/>
          </w:tcPr>
          <w:p w14:paraId="2337C7E9" w14:textId="77777777" w:rsidR="00711A69" w:rsidRPr="00711A69" w:rsidRDefault="00711A69" w:rsidP="00711A69">
            <w:r w:rsidRPr="00711A69">
              <w:t>~8–12M (using 10M midpoint)</w:t>
            </w:r>
          </w:p>
        </w:tc>
      </w:tr>
      <w:tr w:rsidR="00711A69" w:rsidRPr="00711A69" w14:paraId="08EED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FBCA3" w14:textId="77777777" w:rsidR="00711A69" w:rsidRPr="00711A69" w:rsidRDefault="00711A69" w:rsidP="00711A69">
            <w:r w:rsidRPr="00711A69">
              <w:t>Blended revenue/merchant</w:t>
            </w:r>
          </w:p>
        </w:tc>
        <w:tc>
          <w:tcPr>
            <w:tcW w:w="0" w:type="auto"/>
            <w:vAlign w:val="center"/>
            <w:hideMark/>
          </w:tcPr>
          <w:p w14:paraId="713492C0" w14:textId="77777777" w:rsidR="00711A69" w:rsidRPr="00711A69" w:rsidRDefault="00711A69" w:rsidP="00711A69">
            <w:r w:rsidRPr="00711A69">
              <w:t>₹3,783 Cr ÷ 10M ≈ ₹3,800/yr</w:t>
            </w:r>
          </w:p>
        </w:tc>
      </w:tr>
    </w:tbl>
    <w:p w14:paraId="4D05B174" w14:textId="77777777" w:rsidR="00711A69" w:rsidRPr="00711A69" w:rsidRDefault="00711A69" w:rsidP="00711A69">
      <w:r w:rsidRPr="00711A69">
        <w:rPr>
          <w:b/>
          <w:bCs/>
        </w:rPr>
        <w:t>Risk exposure model (assumptions stated per row)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2"/>
        <w:gridCol w:w="2212"/>
        <w:gridCol w:w="2323"/>
        <w:gridCol w:w="1567"/>
        <w:gridCol w:w="1146"/>
      </w:tblGrid>
      <w:tr w:rsidR="00711A69" w:rsidRPr="00711A69" w14:paraId="660F49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7589CD" w14:textId="77777777" w:rsidR="00711A69" w:rsidRPr="00711A69" w:rsidRDefault="00711A69" w:rsidP="00711A69">
            <w:pPr>
              <w:rPr>
                <w:b/>
                <w:bCs/>
              </w:rPr>
            </w:pPr>
            <w:r w:rsidRPr="00711A69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2E34756F" w14:textId="77777777" w:rsidR="00711A69" w:rsidRPr="00711A69" w:rsidRDefault="00711A69" w:rsidP="00711A69">
            <w:pPr>
              <w:rPr>
                <w:b/>
                <w:bCs/>
              </w:rPr>
            </w:pPr>
            <w:r w:rsidRPr="00711A69">
              <w:rPr>
                <w:b/>
                <w:bCs/>
              </w:rPr>
              <w:t>Assumption: % of merchants affected/yr</w:t>
            </w:r>
          </w:p>
        </w:tc>
        <w:tc>
          <w:tcPr>
            <w:tcW w:w="0" w:type="auto"/>
            <w:vAlign w:val="center"/>
            <w:hideMark/>
          </w:tcPr>
          <w:p w14:paraId="2D89F5D2" w14:textId="77777777" w:rsidR="00711A69" w:rsidRPr="00711A69" w:rsidRDefault="00711A69" w:rsidP="00711A69">
            <w:pPr>
              <w:rPr>
                <w:b/>
                <w:bCs/>
              </w:rPr>
            </w:pPr>
            <w:r w:rsidRPr="00711A69">
              <w:rPr>
                <w:b/>
                <w:bCs/>
              </w:rPr>
              <w:t>Assumption: churn/escalation rate</w:t>
            </w:r>
          </w:p>
        </w:tc>
        <w:tc>
          <w:tcPr>
            <w:tcW w:w="0" w:type="auto"/>
            <w:vAlign w:val="center"/>
            <w:hideMark/>
          </w:tcPr>
          <w:p w14:paraId="20A8529B" w14:textId="77777777" w:rsidR="00711A69" w:rsidRPr="00711A69" w:rsidRDefault="00711A69" w:rsidP="00711A69">
            <w:pPr>
              <w:rPr>
                <w:b/>
                <w:bCs/>
              </w:rPr>
            </w:pPr>
            <w:r w:rsidRPr="00711A69">
              <w:rPr>
                <w:b/>
                <w:bCs/>
              </w:rPr>
              <w:t>Est. merchants churned/yr</w:t>
            </w:r>
          </w:p>
        </w:tc>
        <w:tc>
          <w:tcPr>
            <w:tcW w:w="0" w:type="auto"/>
            <w:vAlign w:val="center"/>
            <w:hideMark/>
          </w:tcPr>
          <w:p w14:paraId="7475CB90" w14:textId="77777777" w:rsidR="00711A69" w:rsidRPr="00711A69" w:rsidRDefault="00711A69" w:rsidP="00711A69">
            <w:pPr>
              <w:rPr>
                <w:b/>
                <w:bCs/>
              </w:rPr>
            </w:pPr>
            <w:r w:rsidRPr="00711A69">
              <w:rPr>
                <w:b/>
                <w:bCs/>
              </w:rPr>
              <w:t>Est. annual revenue-at-risk</w:t>
            </w:r>
          </w:p>
        </w:tc>
      </w:tr>
      <w:tr w:rsidR="00711A69" w:rsidRPr="00711A69" w14:paraId="50648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571F9" w14:textId="77777777" w:rsidR="00711A69" w:rsidRPr="00711A69" w:rsidRDefault="00711A69" w:rsidP="00711A69">
            <w:r w:rsidRPr="00711A69">
              <w:t>Account freezes / rolling reserves</w:t>
            </w:r>
          </w:p>
        </w:tc>
        <w:tc>
          <w:tcPr>
            <w:tcW w:w="0" w:type="auto"/>
            <w:vAlign w:val="center"/>
            <w:hideMark/>
          </w:tcPr>
          <w:p w14:paraId="61724FCC" w14:textId="77777777" w:rsidR="00711A69" w:rsidRPr="00711A69" w:rsidRDefault="00711A69" w:rsidP="00711A69">
            <w:r w:rsidRPr="00711A69">
              <w:t>2–5% flagged for compliance review (highest-cited complaint theme; RBI risk-scrutiny is routine under PA licensing)</w:t>
            </w:r>
          </w:p>
        </w:tc>
        <w:tc>
          <w:tcPr>
            <w:tcW w:w="0" w:type="auto"/>
            <w:vAlign w:val="center"/>
            <w:hideMark/>
          </w:tcPr>
          <w:p w14:paraId="796C2623" w14:textId="77777777" w:rsidR="00711A69" w:rsidRPr="00711A69" w:rsidRDefault="00711A69" w:rsidP="00711A69">
            <w:r w:rsidRPr="00711A69">
              <w:t>5–10% of flagged accounts churn permanently (derived from the reported 10–15% regulator-escalation rate, discounted for non-churning escalations)</w:t>
            </w:r>
          </w:p>
        </w:tc>
        <w:tc>
          <w:tcPr>
            <w:tcW w:w="0" w:type="auto"/>
            <w:vAlign w:val="center"/>
            <w:hideMark/>
          </w:tcPr>
          <w:p w14:paraId="45001589" w14:textId="77777777" w:rsidR="00711A69" w:rsidRPr="00711A69" w:rsidRDefault="00711A69" w:rsidP="00711A69">
            <w:r w:rsidRPr="00711A69">
              <w:t>10,000–50,000 (skews toward higher-volume merchants, so weighted at ~2x blended avg revenue)</w:t>
            </w:r>
          </w:p>
        </w:tc>
        <w:tc>
          <w:tcPr>
            <w:tcW w:w="0" w:type="auto"/>
            <w:vAlign w:val="center"/>
            <w:hideMark/>
          </w:tcPr>
          <w:p w14:paraId="2F46F652" w14:textId="77777777" w:rsidR="00711A69" w:rsidRPr="00711A69" w:rsidRDefault="00711A69" w:rsidP="00711A69">
            <w:r w:rsidRPr="00711A69">
              <w:t>₹7.6 Cr – ₹38 Cr</w:t>
            </w:r>
          </w:p>
        </w:tc>
      </w:tr>
      <w:tr w:rsidR="00711A69" w:rsidRPr="00711A69" w14:paraId="5886C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AEF4A" w14:textId="77777777" w:rsidR="00711A69" w:rsidRPr="00711A69" w:rsidRDefault="00711A69" w:rsidP="00711A69">
            <w:r w:rsidRPr="00711A69">
              <w:t>Delayed refunds/settlements</w:t>
            </w:r>
          </w:p>
        </w:tc>
        <w:tc>
          <w:tcPr>
            <w:tcW w:w="0" w:type="auto"/>
            <w:vAlign w:val="center"/>
            <w:hideMark/>
          </w:tcPr>
          <w:p w14:paraId="164AC765" w14:textId="77777777" w:rsidR="00711A69" w:rsidRPr="00711A69" w:rsidRDefault="00711A69" w:rsidP="00711A69">
            <w:r w:rsidRPr="00711A69">
              <w:t>0.3–0.8% churn attributable to cash-flow stress from T+2–T+7 delays</w:t>
            </w:r>
          </w:p>
        </w:tc>
        <w:tc>
          <w:tcPr>
            <w:tcW w:w="0" w:type="auto"/>
            <w:vAlign w:val="center"/>
            <w:hideMark/>
          </w:tcPr>
          <w:p w14:paraId="4DD03B8B" w14:textId="77777777" w:rsidR="00711A69" w:rsidRPr="00711A69" w:rsidRDefault="00711A69" w:rsidP="00711A69">
            <w:r w:rsidRPr="00711A69">
              <w:t>Weighted ~1.5x blended avg revenue (mid-size merchants most vocal about this)</w:t>
            </w:r>
          </w:p>
        </w:tc>
        <w:tc>
          <w:tcPr>
            <w:tcW w:w="0" w:type="auto"/>
            <w:vAlign w:val="center"/>
            <w:hideMark/>
          </w:tcPr>
          <w:p w14:paraId="488912C5" w14:textId="77777777" w:rsidR="00711A69" w:rsidRPr="00711A69" w:rsidRDefault="00711A69" w:rsidP="00711A69">
            <w:r w:rsidRPr="00711A69">
              <w:t>30,000–80,000</w:t>
            </w:r>
          </w:p>
        </w:tc>
        <w:tc>
          <w:tcPr>
            <w:tcW w:w="0" w:type="auto"/>
            <w:vAlign w:val="center"/>
            <w:hideMark/>
          </w:tcPr>
          <w:p w14:paraId="4DA1F026" w14:textId="77777777" w:rsidR="00711A69" w:rsidRPr="00711A69" w:rsidRDefault="00711A69" w:rsidP="00711A69">
            <w:r w:rsidRPr="00711A69">
              <w:t>₹17 Cr – ₹46 Cr</w:t>
            </w:r>
          </w:p>
        </w:tc>
      </w:tr>
      <w:tr w:rsidR="00711A69" w:rsidRPr="00711A69" w14:paraId="6EC23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FD1B1" w14:textId="77777777" w:rsidR="00711A69" w:rsidRPr="00711A69" w:rsidRDefault="00711A69" w:rsidP="00711A69">
            <w:r w:rsidRPr="00711A69">
              <w:t>Support unresponsiveness</w:t>
            </w:r>
          </w:p>
        </w:tc>
        <w:tc>
          <w:tcPr>
            <w:tcW w:w="0" w:type="auto"/>
            <w:vAlign w:val="center"/>
            <w:hideMark/>
          </w:tcPr>
          <w:p w14:paraId="423C3CE1" w14:textId="77777777" w:rsidR="00711A69" w:rsidRPr="00711A69" w:rsidRDefault="00711A69" w:rsidP="00711A69">
            <w:r w:rsidRPr="00711A69">
              <w:t xml:space="preserve">3–5% of merchant base raises tickets/month → 3.6M–6M tickets/yr at ₹150–350/ticket cost-to-serve, of which ~25% is "avoidable" repeat-contact cost; plus </w:t>
            </w:r>
            <w:r w:rsidRPr="00711A69">
              <w:lastRenderedPageBreak/>
              <w:t>0.5–1% churn citing support alone</w:t>
            </w:r>
          </w:p>
        </w:tc>
        <w:tc>
          <w:tcPr>
            <w:tcW w:w="0" w:type="auto"/>
            <w:vAlign w:val="center"/>
            <w:hideMark/>
          </w:tcPr>
          <w:p w14:paraId="1BF86BD1" w14:textId="77777777" w:rsidR="00711A69" w:rsidRPr="00711A69" w:rsidRDefault="00711A69" w:rsidP="00711A69">
            <w:r w:rsidRPr="00711A69">
              <w:lastRenderedPageBreak/>
              <w:t>0.5–1% direct churn + 25% support-cost inefficiency</w:t>
            </w:r>
          </w:p>
        </w:tc>
        <w:tc>
          <w:tcPr>
            <w:tcW w:w="0" w:type="auto"/>
            <w:vAlign w:val="center"/>
            <w:hideMark/>
          </w:tcPr>
          <w:p w14:paraId="244CEFDE" w14:textId="77777777" w:rsidR="00711A69" w:rsidRPr="00711A69" w:rsidRDefault="00711A69" w:rsidP="00711A69">
            <w:r w:rsidRPr="00711A69">
              <w:t>50,000–100,000 (churn) + ticket inefficiency</w:t>
            </w:r>
          </w:p>
        </w:tc>
        <w:tc>
          <w:tcPr>
            <w:tcW w:w="0" w:type="auto"/>
            <w:vAlign w:val="center"/>
            <w:hideMark/>
          </w:tcPr>
          <w:p w14:paraId="369AE14E" w14:textId="77777777" w:rsidR="00711A69" w:rsidRPr="00711A69" w:rsidRDefault="00711A69" w:rsidP="00711A69">
            <w:r w:rsidRPr="00711A69">
              <w:t>₹30 Cr – ₹100 Cr</w:t>
            </w:r>
          </w:p>
        </w:tc>
      </w:tr>
      <w:tr w:rsidR="00711A69" w:rsidRPr="00711A69" w14:paraId="1A127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F18A3" w14:textId="77777777" w:rsidR="00711A69" w:rsidRPr="00711A69" w:rsidRDefault="00711A69" w:rsidP="00711A69">
            <w:r w:rsidRPr="00711A69">
              <w:rPr>
                <w:b/>
                <w:bCs/>
              </w:rPr>
              <w:t>Total modeled exposure</w:t>
            </w:r>
          </w:p>
        </w:tc>
        <w:tc>
          <w:tcPr>
            <w:tcW w:w="0" w:type="auto"/>
            <w:vAlign w:val="center"/>
            <w:hideMark/>
          </w:tcPr>
          <w:p w14:paraId="1180EF52" w14:textId="77777777" w:rsidR="00711A69" w:rsidRPr="00711A69" w:rsidRDefault="00711A69" w:rsidP="00711A69"/>
        </w:tc>
        <w:tc>
          <w:tcPr>
            <w:tcW w:w="0" w:type="auto"/>
            <w:vAlign w:val="center"/>
            <w:hideMark/>
          </w:tcPr>
          <w:p w14:paraId="1A69E8EB" w14:textId="77777777" w:rsidR="00711A69" w:rsidRPr="00711A69" w:rsidRDefault="00711A69" w:rsidP="00711A69"/>
        </w:tc>
        <w:tc>
          <w:tcPr>
            <w:tcW w:w="0" w:type="auto"/>
            <w:vAlign w:val="center"/>
            <w:hideMark/>
          </w:tcPr>
          <w:p w14:paraId="6C1947D3" w14:textId="77777777" w:rsidR="00711A69" w:rsidRPr="00711A69" w:rsidRDefault="00711A69" w:rsidP="00711A69"/>
        </w:tc>
        <w:tc>
          <w:tcPr>
            <w:tcW w:w="0" w:type="auto"/>
            <w:vAlign w:val="center"/>
            <w:hideMark/>
          </w:tcPr>
          <w:p w14:paraId="20E55C4B" w14:textId="77777777" w:rsidR="00711A69" w:rsidRPr="00711A69" w:rsidRDefault="00711A69" w:rsidP="00711A69">
            <w:r w:rsidRPr="00711A69">
              <w:rPr>
                <w:b/>
                <w:bCs/>
              </w:rPr>
              <w:t>₹55 Cr – ₹184 Cr/yr</w:t>
            </w:r>
            <w:r w:rsidRPr="00711A69">
              <w:t xml:space="preserve"> (~1.5%–4.9% of FY25 revenue)</w:t>
            </w:r>
          </w:p>
        </w:tc>
      </w:tr>
    </w:tbl>
    <w:p w14:paraId="52BD3A5B" w14:textId="77777777" w:rsidR="00711A69" w:rsidRPr="00711A69" w:rsidRDefault="00711A69" w:rsidP="00711A69">
      <w:r w:rsidRPr="00711A69">
        <w:rPr>
          <w:b/>
          <w:bCs/>
        </w:rPr>
        <w:t>Caveats (important):</w:t>
      </w:r>
    </w:p>
    <w:p w14:paraId="407483F5" w14:textId="77777777" w:rsidR="00711A69" w:rsidRPr="00711A69" w:rsidRDefault="00711A69" w:rsidP="00711A69">
      <w:pPr>
        <w:numPr>
          <w:ilvl w:val="0"/>
          <w:numId w:val="1"/>
        </w:numPr>
      </w:pPr>
      <w:r w:rsidRPr="00711A69">
        <w:t xml:space="preserve">Every % in columns 2–3 is a benchmark-based assumption, not a </w:t>
      </w:r>
      <w:proofErr w:type="spellStart"/>
      <w:r w:rsidRPr="00711A69">
        <w:t>Razorpay</w:t>
      </w:r>
      <w:proofErr w:type="spellEnd"/>
      <w:r w:rsidRPr="00711A69">
        <w:t>-disclosed rate — I've stated the rationale for each so you can swap in better numbers if you have them (e.g., internal churn data, actual ticket volume).</w:t>
      </w:r>
    </w:p>
    <w:p w14:paraId="50F7321B" w14:textId="77777777" w:rsidR="00711A69" w:rsidRPr="00711A69" w:rsidRDefault="00711A69" w:rsidP="00711A69">
      <w:pPr>
        <w:numPr>
          <w:ilvl w:val="0"/>
          <w:numId w:val="1"/>
        </w:numPr>
      </w:pPr>
      <w:r w:rsidRPr="00711A69">
        <w:t xml:space="preserve">The ₹55–184 Cr range is a </w:t>
      </w:r>
      <w:r w:rsidRPr="00711A69">
        <w:rPr>
          <w:b/>
          <w:bCs/>
        </w:rPr>
        <w:t>plausibility check</w:t>
      </w:r>
      <w:r w:rsidRPr="00711A69">
        <w:t>, not a forecast — it lands in the 1–5% of revenue band that's typical industry-wide for "cost of unresolved service friction" at fintech/PSP scale, which is why it's a reasonable order-of-magnitude estimate rather than noise.</w:t>
      </w:r>
    </w:p>
    <w:p w14:paraId="364A296D" w14:textId="77777777" w:rsidR="00711A69" w:rsidRPr="00711A69" w:rsidRDefault="00711A69" w:rsidP="00711A69">
      <w:pPr>
        <w:numPr>
          <w:ilvl w:val="0"/>
          <w:numId w:val="1"/>
        </w:numPr>
      </w:pPr>
      <w:r w:rsidRPr="00711A69">
        <w:t xml:space="preserve">Real figure could differ significantly since I don't have </w:t>
      </w:r>
      <w:proofErr w:type="spellStart"/>
      <w:r w:rsidRPr="00711A69">
        <w:t>Razorpay's</w:t>
      </w:r>
      <w:proofErr w:type="spellEnd"/>
      <w:r w:rsidRPr="00711A69">
        <w:t xml:space="preserve"> actual ticket volume, churn data, or reserve-hold amounts — those are internal metrics.</w:t>
      </w:r>
    </w:p>
    <w:p w14:paraId="3C0A8C2C" w14:textId="77777777" w:rsidR="00BC1539" w:rsidRDefault="00BC1539"/>
    <w:sectPr w:rsidR="00BC15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B2E8E"/>
    <w:multiLevelType w:val="multilevel"/>
    <w:tmpl w:val="51EE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9961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A69"/>
    <w:rsid w:val="00272A7D"/>
    <w:rsid w:val="002E1087"/>
    <w:rsid w:val="00306B91"/>
    <w:rsid w:val="00402F39"/>
    <w:rsid w:val="00711A69"/>
    <w:rsid w:val="00BC1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D7EF7"/>
  <w15:chartTrackingRefBased/>
  <w15:docId w15:val="{EC046A76-0DA8-4E39-A1EC-B205E9713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A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A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A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A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A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A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A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A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A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A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A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591</Words>
  <Characters>3369</Characters>
  <Application>Microsoft Office Word</Application>
  <DocSecurity>0</DocSecurity>
  <Lines>28</Lines>
  <Paragraphs>7</Paragraphs>
  <ScaleCrop>false</ScaleCrop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 Suratwala</dc:creator>
  <cp:keywords/>
  <dc:description/>
  <cp:lastModifiedBy>Taran Suratwala</cp:lastModifiedBy>
  <cp:revision>1</cp:revision>
  <dcterms:created xsi:type="dcterms:W3CDTF">2026-09-04T08:09:00Z</dcterms:created>
  <dcterms:modified xsi:type="dcterms:W3CDTF">2026-09-04T08:11:00Z</dcterms:modified>
</cp:coreProperties>
</file>