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240" w:before="240" w:line="276"/>
        <w:jc w:val="left"/>
      </w:pPr>
      <w:r>
        <w:rPr>
          <w:color w:val="000000"/>
          <w:sz w:val="24"/>
          <w:szCs w:val="24"/>
          <w:rtl w:val="false"/>
        </w:rPr>
        <w:t xml:space="preserve">AssignGuard
Plagiarism Detection &amp; Assignment Management System</w:t>
      </w:r>
    </w:p>
    <w:p>
      <w:pPr>
        <w:bidi w:val="false"/>
        <w:spacing w:after="240" w:before="240" w:line="276"/>
        <w:jc w:val="left"/>
      </w:pPr>
      <w:r>
        <w:rPr>
          <w:color w:val="000000"/>
          <w:sz w:val="24"/>
          <w:szCs w:val="24"/>
          <w:rtl w:val="false"/>
        </w:rPr>
        <w:t xml:space="preserve">Requirement &amp; Design Document
Version 1.0  |  March 2026</w:t>
      </w:r>
    </w:p>
    <w:p>
      <w:pPr>
        <w:bidi w:val="false"/>
        <w:spacing w:after="240" w:before="240" w:line="276"/>
        <w:jc w:val="left"/>
      </w:pPr>
      <w:r>
        <w:rPr>
          <w:color w:val="000000"/>
          <w:sz w:val="24"/>
          <w:szCs w:val="24"/>
          <w:rtl w:val="false"/>
        </w:rPr>
        <w:t xml:space="preserve">Made by Tarandeep</w:t>
      </w:r>
    </w:p>
    <w:p>
      <w:pPr>
        <w:bidi w:val="false"/>
        <w:spacing w:after="240" w:before="240" w:line="276"/>
        <w:jc w:val="left"/>
      </w:pPr>
      <w:r>
        <w:rPr>
          <w:color w:val="000000"/>
          <w:sz w:val="24"/>
          <w:szCs w:val="24"/>
          <w:rtl w:val="false"/>
        </w:rPr>
        <w:t xml:space="preserve">Table of Contents</w:t>
      </w:r>
    </w:p>
    <w:p>
      <w:pPr>
        <w:pStyle w:val="ListParagraph"/>
        <w:numPr>
          <w:ilvl w:val="0"/>
          <w:numId w:val="2"/>
        </w:numPr>
        <w:bidi w:val="false"/>
        <w:spacing w:after="120" w:before="120"/>
      </w:pPr>
      <w:r>
        <w:rPr>
          <w:color w:val="000000"/>
          <w:sz w:val="24"/>
          <w:szCs w:val="24"/>
          <w:rtl w:val="false"/>
        </w:rPr>
        <w:t xml:space="preserve">Introduction</w:t>
      </w:r>
    </w:p>
    <w:p>
      <w:pPr>
        <w:pStyle w:val="ListParagraph"/>
        <w:numPr>
          <w:ilvl w:val="0"/>
          <w:numId w:val="2"/>
        </w:numPr>
        <w:bidi w:val="false"/>
        <w:spacing w:after="120" w:before="120"/>
      </w:pPr>
      <w:r>
        <w:rPr>
          <w:color w:val="000000"/>
          <w:sz w:val="24"/>
          <w:szCs w:val="24"/>
          <w:rtl w:val="false"/>
        </w:rPr>
        <w:t xml:space="preserve">Features</w:t>
      </w:r>
    </w:p>
    <w:p>
      <w:pPr>
        <w:pStyle w:val="ListParagraph"/>
        <w:numPr>
          <w:ilvl w:val="0"/>
          <w:numId w:val="2"/>
        </w:numPr>
        <w:bidi w:val="false"/>
        <w:spacing w:after="120" w:before="120"/>
      </w:pPr>
      <w:r>
        <w:rPr>
          <w:color w:val="000000"/>
          <w:sz w:val="24"/>
          <w:szCs w:val="24"/>
          <w:rtl w:val="false"/>
        </w:rPr>
        <w:t xml:space="preserve">Technology Stack</w:t>
      </w:r>
    </w:p>
    <w:p>
      <w:pPr>
        <w:pStyle w:val="ListParagraph"/>
        <w:numPr>
          <w:ilvl w:val="0"/>
          <w:numId w:val="2"/>
        </w:numPr>
        <w:bidi w:val="false"/>
        <w:spacing w:after="120" w:before="120"/>
      </w:pPr>
      <w:r>
        <w:rPr>
          <w:color w:val="000000"/>
          <w:sz w:val="24"/>
          <w:szCs w:val="24"/>
          <w:rtl w:val="false"/>
        </w:rPr>
        <w:t xml:space="preserve">System Architecture</w:t>
      </w:r>
    </w:p>
    <w:p>
      <w:pPr>
        <w:pStyle w:val="ListParagraph"/>
        <w:numPr>
          <w:ilvl w:val="0"/>
          <w:numId w:val="2"/>
        </w:numPr>
        <w:bidi w:val="false"/>
        <w:spacing w:after="120" w:before="120"/>
      </w:pPr>
      <w:r>
        <w:rPr>
          <w:color w:val="000000"/>
          <w:sz w:val="24"/>
          <w:szCs w:val="24"/>
          <w:rtl w:val="false"/>
        </w:rPr>
        <w:t xml:space="preserve">Database Schema</w:t>
      </w:r>
    </w:p>
    <w:p>
      <w:pPr>
        <w:pStyle w:val="ListParagraph"/>
        <w:numPr>
          <w:ilvl w:val="0"/>
          <w:numId w:val="2"/>
        </w:numPr>
        <w:bidi w:val="false"/>
        <w:spacing w:after="120" w:before="120"/>
      </w:pPr>
      <w:r>
        <w:rPr>
          <w:color w:val="000000"/>
          <w:sz w:val="24"/>
          <w:szCs w:val="24"/>
          <w:rtl w:val="false"/>
        </w:rPr>
        <w:t xml:space="preserve">API Endpoints</w:t>
      </w:r>
    </w:p>
    <w:p>
      <w:pPr>
        <w:pStyle w:val="ListParagraph"/>
        <w:numPr>
          <w:ilvl w:val="0"/>
          <w:numId w:val="2"/>
        </w:numPr>
        <w:bidi w:val="false"/>
        <w:spacing w:after="120" w:before="120"/>
      </w:pPr>
      <w:r>
        <w:rPr>
          <w:color w:val="000000"/>
          <w:sz w:val="24"/>
          <w:szCs w:val="24"/>
          <w:rtl w:val="false"/>
        </w:rPr>
        <w:t xml:space="preserve">User Flow</w:t>
      </w:r>
    </w:p>
    <w:p>
      <w:pPr>
        <w:pStyle w:val="ListParagraph"/>
        <w:numPr>
          <w:ilvl w:val="0"/>
          <w:numId w:val="2"/>
        </w:numPr>
        <w:bidi w:val="false"/>
        <w:spacing w:after="120" w:before="120"/>
      </w:pPr>
      <w:r>
        <w:rPr>
          <w:color w:val="000000"/>
          <w:sz w:val="24"/>
          <w:szCs w:val="24"/>
          <w:rtl w:val="false"/>
        </w:rPr>
        <w:t xml:space="preserve">Security</w:t>
      </w:r>
    </w:p>
    <w:p>
      <w:pPr>
        <w:pStyle w:val="ListParagraph"/>
        <w:numPr>
          <w:ilvl w:val="0"/>
          <w:numId w:val="2"/>
        </w:numPr>
        <w:bidi w:val="false"/>
        <w:spacing w:after="120" w:before="120"/>
      </w:pPr>
      <w:r>
        <w:rPr>
          <w:color w:val="000000"/>
          <w:sz w:val="24"/>
          <w:szCs w:val="24"/>
          <w:rtl w:val="false"/>
        </w:rPr>
        <w:t xml:space="preserve">Introduction
AssignGuard is a structured assignment management platform integrated with built-in plagiarism detection. It solves the issue of manual assignment submission tracking and disjointed plagiarism checking by providing a unified, seamless interface for both educators and students.
1.1 Problem Statement
Teachers currently rely on fragmented tools to collect assignments and cross-check for plagiarism. AssignGuard centralizes this entire workflow with role-based access, allowing teachers to create assignments, collect student work, and automatically generate plagiarism reports comparing all student submissions in one place.
1.2 Project Status
MVP (Minimum Viable Product). Core features including authentication, assignment creation, student submissions, and the plagiarism analysis UI are fully implemented and integrated.</w:t>
      </w:r>
    </w:p>
    <w:p>
      <w:pPr>
        <w:pStyle w:val="ListParagraph"/>
        <w:numPr>
          <w:ilvl w:val="0"/>
          <w:numId w:val="2"/>
        </w:numPr>
        <w:bidi w:val="false"/>
        <w:spacing w:after="120" w:before="120"/>
      </w:pPr>
      <w:r>
        <w:rPr>
          <w:color w:val="000000"/>
          <w:sz w:val="24"/>
          <w:szCs w:val="24"/>
          <w:rtl w:val="false"/>
        </w:rPr>
        <w:t xml:space="preserve">Features
2.1 Authentication
• JWT-based authentication system
• Role-based access control (Student vs Teacher)
• Secure sessions using HttpOnly cookies
2.2 Assignment Management (Teacher)
• Create assignments with title, description, and dynamic due dates
• View a comprehensive list of all student submissions per assignment
2.3 Submission Flow (Student)
• View list of available active assignments
• Submit assignment text/content securely to the specific assignment drop-box
2.4 Plagiarism Detection (Teacher)
• Instantly cross-check all internal submissions against each other
• Premium UI integration displaying similarity percentages and automatically flagging high-risk submissions (e.g. &gt;50% overlap) directly in the dashboard</w:t>
      </w:r>
    </w:p>
    <w:p>
      <w:pPr>
        <w:pStyle w:val="ListParagraph"/>
        <w:numPr>
          <w:ilvl w:val="0"/>
          <w:numId w:val="2"/>
        </w:numPr>
        <w:bidi w:val="false"/>
        <w:spacing w:after="120" w:before="120"/>
      </w:pPr>
      <w:r>
        <w:rPr>
          <w:color w:val="000000"/>
          <w:sz w:val="24"/>
          <w:szCs w:val="24"/>
          <w:rtl w:val="false"/>
        </w:rPr>
        <w:t xml:space="preserve">Technology Stack</w:t>
      </w:r>
    </w:p>
    <w:p>
      <w:pPr>
        <w:bidi w:val="false"/>
        <w:spacing w:after="240" w:before="240" w:line="276"/>
        <w:jc w:val="left"/>
      </w:pPr>
      <w:r>
        <w:rPr>
          <w:color w:val="000000"/>
          <w:sz w:val="24"/>
          <w:szCs w:val="24"/>
          <w:rtl w:val="false"/>
        </w:rPr>
        <w:t xml:space="preserve">Layer
Technology
Frontend
Next.js 14 (App Router), Tailwind CSS, shadcn/ui
Backend
Express.js, Node.js 20+, TypeScript
Database
MongoDB + Mongoose ORM
Networking
Axios + Custom Next.js API Proxy
Authentication
JWT, bcryptjs</w:t>
      </w:r>
    </w:p>
    <w:p>
      <w:pPr>
        <w:pStyle w:val="ListParagraph"/>
        <w:numPr>
          <w:ilvl w:val="0"/>
          <w:numId w:val="3"/>
        </w:numPr>
        <w:bidi w:val="false"/>
        <w:spacing w:after="120" w:before="120"/>
      </w:pPr>
      <w:r>
        <w:rPr>
          <w:color w:val="000000"/>
          <w:sz w:val="24"/>
          <w:szCs w:val="24"/>
          <w:rtl w:val="false"/>
        </w:rPr>
        <w:t xml:space="preserve">System Architecture
4.1 Project Structure
The project follows a standard monorepo layout separating client and server concerns:
• frontend/: A Next.js application handling all UI components, state, forms, and API proxy routing.
• backend/: An Express.js server exposing REST APIs, connected directly to a MongoDB cluster.
The frontend utilizes a Next.js App Router Catch-All API proxy (src/app/api/[...path]/route.ts) to forward requests from the browser to the backend securely. This BFF (Backend-for-Frontend) pattern entirely bypasses browser CORS issues and gracefully forwards HTTP-Only cookies.</w:t>
      </w:r>
    </w:p>
    <w:p>
      <w:pPr>
        <w:pStyle w:val="ListParagraph"/>
        <w:numPr>
          <w:ilvl w:val="0"/>
          <w:numId w:val="3"/>
        </w:numPr>
        <w:bidi w:val="false"/>
        <w:spacing w:after="120" w:before="120"/>
      </w:pPr>
      <w:r>
        <w:rPr>
          <w:color w:val="000000"/>
          <w:sz w:val="24"/>
          <w:szCs w:val="24"/>
          <w:rtl w:val="false"/>
        </w:rPr>
        <w:t xml:space="preserve">Database Schema
The database schema is managed via Mongoose models. The core collections are:
• User — Stores student/teacher credentials, hashed passwords, and role metadata.
• Assignment — Central record created by teachers containing title, description, dueDate, and the creator's userId.
• Submission — Records representing student work, linked to both an assignmentId and the student's userId.</w:t>
      </w:r>
    </w:p>
    <w:p>
      <w:pPr>
        <w:pStyle w:val="ListParagraph"/>
        <w:numPr>
          <w:ilvl w:val="0"/>
          <w:numId w:val="3"/>
        </w:numPr>
        <w:bidi w:val="false"/>
        <w:spacing w:after="120" w:before="120"/>
      </w:pPr>
      <w:r>
        <w:rPr>
          <w:color w:val="000000"/>
          <w:sz w:val="24"/>
          <w:szCs w:val="24"/>
          <w:rtl w:val="false"/>
        </w:rPr>
        <w:t xml:space="preserve">API Endpoints
6.1 Authentication
Method
Endpoint
Description
POST
/api/v1/login
Authenticate user and set cookie
POST
/api/v1/register
Create new user account
GET
/api/v1/verify
Verify JWT session validity
POST
/api/v1/logout
Clear session cookies</w:t>
      </w:r>
    </w:p>
    <w:p>
      <w:pPr>
        <w:bidi w:val="false"/>
        <w:spacing w:after="240" w:before="240" w:line="276"/>
        <w:jc w:val="left"/>
      </w:pPr>
      <w:r>
        <w:rPr>
          <w:color w:val="000000"/>
          <w:sz w:val="24"/>
          <w:szCs w:val="24"/>
          <w:rtl w:val="false"/>
        </w:rPr>
        <w:t xml:space="preserve">6.2 Assignments &amp; Submissions
Method
Endpoint
Description
GET
/api/v1/assignments
Get assignments based on role
GET
/api/v1/assignments/:id
Get assignment details
POST
/api/v1/assignments
Create assignment (Teacher only)
GET
/api/v1/assignments/:id/submissions
Get all submissions (Teacher only)
POST
/api/v1/assignments/:id/submissions
Submit assignment (Student only)
GET
/api/v1/assignments/:id/plagiarism-report
Generate pairwise submission comparison</w:t>
      </w:r>
    </w:p>
    <w:p>
      <w:pPr>
        <w:pStyle w:val="ListParagraph"/>
        <w:numPr>
          <w:ilvl w:val="0"/>
          <w:numId w:val="4"/>
        </w:numPr>
        <w:bidi w:val="false"/>
        <w:spacing w:after="120" w:before="120"/>
      </w:pPr>
      <w:r>
        <w:rPr>
          <w:color w:val="000000"/>
          <w:sz w:val="24"/>
          <w:szCs w:val="24"/>
          <w:rtl w:val="false"/>
        </w:rPr>
        <w:t xml:space="preserve">User Flow
The application follows a linear guided flow based on strict roles:</w:t>
      </w:r>
    </w:p>
    <w:p>
      <w:pPr>
        <w:pStyle w:val="ListParagraph"/>
        <w:numPr>
          <w:ilvl w:val="1"/>
          <w:numId w:val="5"/>
        </w:numPr>
        <w:bidi w:val="false"/>
        <w:spacing w:after="120" w:before="120"/>
      </w:pPr>
      <w:r>
        <w:rPr>
          <w:color w:val="000000"/>
          <w:sz w:val="24"/>
          <w:szCs w:val="24"/>
          <w:rtl w:val="false"/>
        </w:rPr>
        <w:t xml:space="preserve">Landing Page — Unauthenticated users land on the root path and are presented with product info and a premium aesthetic.</w:t>
      </w:r>
    </w:p>
    <w:p>
      <w:pPr>
        <w:pStyle w:val="ListParagraph"/>
        <w:numPr>
          <w:ilvl w:val="1"/>
          <w:numId w:val="5"/>
        </w:numPr>
        <w:bidi w:val="false"/>
        <w:spacing w:after="120" w:before="120"/>
      </w:pPr>
      <w:r>
        <w:rPr>
          <w:color w:val="000000"/>
          <w:sz w:val="24"/>
          <w:szCs w:val="24"/>
          <w:rtl w:val="false"/>
        </w:rPr>
        <w:t xml:space="preserve">Authentication — User logs in or registers and is assigned a Student or Teacher role.</w:t>
      </w:r>
    </w:p>
    <w:p>
      <w:pPr>
        <w:pStyle w:val="ListParagraph"/>
        <w:numPr>
          <w:ilvl w:val="1"/>
          <w:numId w:val="5"/>
        </w:numPr>
        <w:bidi w:val="false"/>
        <w:spacing w:after="120" w:before="120"/>
      </w:pPr>
      <w:r>
        <w:rPr>
          <w:color w:val="000000"/>
          <w:sz w:val="24"/>
          <w:szCs w:val="24"/>
          <w:rtl w:val="false"/>
        </w:rPr>
        <w:t xml:space="preserve">Dashboard —
◦ Teacher: Creates new assignments, and clicks into active assignments to view the submission list.
◦ Student: Views pending assignments and submits their required text/code.</w:t>
      </w:r>
    </w:p>
    <w:p>
      <w:pPr>
        <w:pStyle w:val="ListParagraph"/>
        <w:numPr>
          <w:ilvl w:val="1"/>
          <w:numId w:val="5"/>
        </w:numPr>
        <w:bidi w:val="false"/>
        <w:spacing w:after="120" w:before="120"/>
      </w:pPr>
      <w:r>
        <w:rPr>
          <w:color w:val="000000"/>
          <w:sz w:val="24"/>
          <w:szCs w:val="24"/>
          <w:rtl w:val="false"/>
        </w:rPr>
        <w:t xml:space="preserve">Plagiarism Analysis — The teacher clicks "Generate Plagiarism Report" to instantly view similarity scores directly above the submissions list, immediately highlighting academic dishonesty.</w:t>
      </w:r>
    </w:p>
    <w:p>
      <w:pPr>
        <w:pStyle w:val="ListParagraph"/>
        <w:numPr>
          <w:ilvl w:val="0"/>
          <w:numId w:val="4"/>
        </w:numPr>
        <w:bidi w:val="false"/>
        <w:spacing w:after="120" w:before="120"/>
      </w:pPr>
      <w:r>
        <w:rPr>
          <w:color w:val="000000"/>
          <w:sz w:val="24"/>
          <w:szCs w:val="24"/>
          <w:rtl w:val="false"/>
        </w:rPr>
        <w:t xml:space="preserve">Security
• HttpOnly Cookies: JWTs are strictly stored in HttpOnly, SameSite=Lax cookies to mitigate XSS attacks.
• Server-to-Server Proxying: The frontend prevents CORS risks and data leaks by routing all traffic through a Next.js proxy server rather than exposing the Express backend directly to the browser.
• Strict Role Guards: Both the frontend UI and backend endpoints strictly verify user roles before exposing data or allowing mutations.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2026-05-14T14:25:04.688Z</dcterms:created>
  <dcterms:modified xsi:type="dcterms:W3CDTF">2026-05-14T14:25:04.688Z</dcterms:modified>
</cp:coreProperties>
</file>

<file path=docProps/custom.xml><?xml version="1.0" encoding="utf-8"?>
<Properties xmlns="http://schemas.openxmlformats.org/officeDocument/2006/custom-properties" xmlns:vt="http://schemas.openxmlformats.org/officeDocument/2006/docPropsVTypes"/>
</file>