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32048" w:val="solid"/>
        <w:spacing w:after="120" w:before="400"/>
        <w:jc w:val="center"/>
      </w:pPr>
      <w:r>
        <w:rPr>
          <w:rFonts w:ascii="Calibri" w:cs="Calibri" w:eastAsia="Calibri" w:hAnsi="Calibri"/>
          <w:b/>
          <w:bCs/>
          <w:color w:val="FFFFFF"/>
          <w:sz w:val="48"/>
          <w:szCs w:val="48"/>
        </w:rPr>
        <w:t xml:space="preserve">COMPARATIVE FINANCIAL ANALYSIS</w:t>
      </w:r>
    </w:p>
    <w:p>
      <w:pPr>
        <w:shd w:fill="132048" w:val="solid"/>
        <w:spacing w:after="80" w:before="0"/>
        <w:jc w:val="center"/>
      </w:pPr>
      <w:r>
        <w:rPr>
          <w:rFonts w:ascii="Calibri" w:cs="Calibri" w:eastAsia="Calibri" w:hAnsi="Calibri"/>
          <w:b/>
          <w:bCs/>
          <w:color w:val="C9A227"/>
          <w:sz w:val="32"/>
          <w:szCs w:val="32"/>
        </w:rPr>
        <w:t xml:space="preserve">Bitcoin · Gold · S&amp;P 500</w:t>
      </w:r>
    </w:p>
    <w:p>
      <w:pPr>
        <w:shd w:fill="132048" w:val="solid"/>
        <w:spacing w:after="400" w:before="0"/>
        <w:jc w:val="center"/>
      </w:pPr>
      <w:r>
        <w:rPr>
          <w:rFonts w:ascii="Calibri" w:cs="Calibri" w:eastAsia="Calibri" w:hAnsi="Calibri"/>
          <w:color w:val="C5D0E6"/>
          <w:sz w:val="22"/>
          <w:szCs w:val="22"/>
        </w:rPr>
        <w:t xml:space="preserve">ADDITIONAL CHAPTERS: Machine Learning · Deep Learning · Soft Computing</w:t>
      </w:r>
    </w:p>
    <w:p>
      <w:pPr>
        <w:spacing w:after="80" w:before="200"/>
      </w:pPr>
      <w:r>
        <w:rPr>
          <w:rFonts w:ascii="Calibri" w:cs="Calibri" w:eastAsia="Calibri" w:hAnsi="Calibri"/>
          <w:b/>
          <w:bCs/>
          <w:color w:val="C9A227"/>
          <w:sz w:val="20"/>
          <w:szCs w:val="20"/>
        </w:rPr>
        <w:t xml:space="preserve">NOTE TO READER</w:t>
      </w:r>
    </w:p>
    <w:p>
      <w:pPr>
        <w:spacing w:after="120" w:line="340"/>
        <w:jc w:val="both"/>
      </w:pPr>
      <w:r>
        <w:rPr>
          <w:rFonts w:ascii="Calibri" w:cs="Calibri" w:eastAsia="Calibri" w:hAnsi="Calibri"/>
          <w:b w:val="false"/>
          <w:bCs w:val="false"/>
          <w:i w:val="false"/>
          <w:iCs w:val="false"/>
          <w:color w:val="1F2937"/>
          <w:sz w:val="22"/>
          <w:szCs w:val="22"/>
        </w:rPr>
        <w:t xml:space="preserve">This document is the supplementary chapter appendix to the main Project Report. It contains the complete Machine Learning, Deep Learning, and Soft Computing chapters that should be inserted after the Exploratory Data Analysis section of the main report. The content follows the same formatting and academic style as the main document.</w:t>
      </w:r>
    </w:p>
    <w:p>
      <w:pPr>
        <w:spacing w:after="160"/>
      </w:pPr>
      <w:r>
        <w:t xml:space="preserve"/>
      </w:r>
    </w:p>
    <w:p>
      <w:r>
        <w:br w:type="page"/>
      </w:r>
    </w:p>
    <w:p>
      <w:pPr>
        <w:shd w:fill="132048" w:val="solid"/>
        <w:spacing w:after="200" w:before="400"/>
        <w:jc w:val="center"/>
      </w:pPr>
      <w:r>
        <w:rPr>
          <w:rFonts w:ascii="Calibri" w:cs="Calibri" w:eastAsia="Calibri" w:hAnsi="Calibri"/>
          <w:b/>
          <w:bCs/>
          <w:color w:val="FFFFFF"/>
          <w:spacing w:val="60"/>
          <w:sz w:val="18"/>
          <w:szCs w:val="18"/>
        </w:rPr>
        <w:t xml:space="preserve">CHAPTER — MACHINE LEARNING MODELS</w:t>
      </w:r>
    </w:p>
    <w:p>
      <w:pPr>
        <w:spacing w:after="80"/>
      </w:pPr>
      <w:r>
        <w:t xml:space="preserve"/>
      </w:r>
    </w:p>
    <w:p>
      <w:pPr>
        <w:pBdr>
          <w:bottom w:val="single" w:color="C9A227" w:sz="12"/>
        </w:pBdr>
        <w:shd w:fill="132048" w:val="solid"/>
        <w:spacing w:after="200" w:before="200"/>
        <w:jc w:val="left"/>
      </w:pPr>
      <w:r>
        <w:rPr>
          <w:rFonts w:ascii="Calibri" w:cs="Calibri" w:eastAsia="Calibri" w:hAnsi="Calibri"/>
          <w:b/>
          <w:bCs/>
          <w:color w:val="FFFFFF"/>
          <w:sz w:val="36"/>
          <w:szCs w:val="36"/>
        </w:rPr>
        <w:t xml:space="preserve">Chapter 6: Machine Learning Models</w:t>
      </w:r>
    </w:p>
    <w:p>
      <w:pPr>
        <w:spacing w:after="80"/>
      </w:pPr>
      <w:r>
        <w:t xml:space="preserve"/>
      </w:r>
    </w:p>
    <w:p>
      <w:pPr>
        <w:pStyle w:val="Heading2"/>
        <w:pBdr>
          <w:left w:val="single" w:color="C9A227" w:sz="20"/>
        </w:pBdr>
        <w:spacing w:after="100" w:before="320"/>
        <w:ind w:left="200"/>
      </w:pPr>
      <w:r>
        <w:t xml:space="preserve">6.1  Introduction to Machine Learning in Finance</w:t>
      </w:r>
    </w:p>
    <w:p>
      <w:pPr>
        <w:spacing w:after="120" w:line="340"/>
        <w:jc w:val="both"/>
      </w:pPr>
      <w:r>
        <w:rPr>
          <w:rFonts w:ascii="Calibri" w:cs="Calibri" w:eastAsia="Calibri" w:hAnsi="Calibri"/>
          <w:b w:val="false"/>
          <w:bCs w:val="false"/>
          <w:i w:val="false"/>
          <w:iCs w:val="false"/>
          <w:color w:val="1F2937"/>
          <w:sz w:val="22"/>
          <w:szCs w:val="22"/>
        </w:rPr>
        <w:t xml:space="preserve">Machine Learning (ML) provides powerful tools for uncovering non-linear patterns in financial time series that classical econometric models may miss. In this study, ML was applied to two distinct tasks: (1) classifying prevailing market regimes (Bull, Bear, Sideways) and (2) predicting daily logarithmic returns for Bitcoin. A comprehensive pipeline was developed covering feature engineering, model training, cross-validation, and performance evaluation.</w:t>
      </w:r>
    </w:p>
    <w:p>
      <w:pPr>
        <w:pStyle w:val="Heading3"/>
        <w:spacing w:after="80" w:before="200"/>
      </w:pPr>
      <w:r>
        <w:t xml:space="preserve">6.1.1  Feature Engineering</w:t>
      </w:r>
    </w:p>
    <w:p>
      <w:pPr>
        <w:spacing w:after="120" w:line="340"/>
        <w:jc w:val="both"/>
      </w:pPr>
      <w:r>
        <w:rPr>
          <w:rFonts w:ascii="Calibri" w:cs="Calibri" w:eastAsia="Calibri" w:hAnsi="Calibri"/>
          <w:b w:val="false"/>
          <w:bCs w:val="false"/>
          <w:i w:val="false"/>
          <w:iCs w:val="false"/>
          <w:color w:val="1F2937"/>
          <w:sz w:val="22"/>
          <w:szCs w:val="22"/>
        </w:rPr>
        <w:t xml:space="preserve">A rich set of features was constructed from the raw log returns and cross-asset data to provide models with meaningful, forward-looking signals:</w:t>
      </w:r>
    </w:p>
    <w:p>
      <w:pPr>
        <w:pStyle w:val="ListParagraph"/>
        <w:numPr>
          <w:ilvl w:val="0"/>
          <w:numId w:val="1"/>
        </w:numPr>
        <w:spacing w:after="80" w:line="300"/>
        <w:ind w:left="400"/>
      </w:pPr>
      <w:r>
        <w:rPr>
          <w:rFonts w:ascii="Calibri" w:cs="Calibri" w:eastAsia="Calibri" w:hAnsi="Calibri"/>
          <w:color w:val="1F2937"/>
          <w:sz w:val="22"/>
          <w:szCs w:val="22"/>
        </w:rPr>
        <w:t xml:space="preserve">Rolling Volatility (30-day): Standard deviation of returns over a 30-day window, annualised. Captures short-term risk environment.</w:t>
      </w:r>
    </w:p>
    <w:p>
      <w:pPr>
        <w:pStyle w:val="ListParagraph"/>
        <w:numPr>
          <w:ilvl w:val="0"/>
          <w:numId w:val="1"/>
        </w:numPr>
        <w:spacing w:after="80" w:line="300"/>
        <w:ind w:left="400"/>
      </w:pPr>
      <w:r>
        <w:rPr>
          <w:rFonts w:ascii="Calibri" w:cs="Calibri" w:eastAsia="Calibri" w:hAnsi="Calibri"/>
          <w:color w:val="1F2937"/>
          <w:sz w:val="22"/>
          <w:szCs w:val="22"/>
        </w:rPr>
        <w:t xml:space="preserve">Rolling Correlation (60-day): Pairwise rolling correlation between BTC and S&amp;P 500. Captures regime-driven correlation shifts.</w:t>
      </w:r>
    </w:p>
    <w:p>
      <w:pPr>
        <w:pStyle w:val="ListParagraph"/>
        <w:numPr>
          <w:ilvl w:val="0"/>
          <w:numId w:val="1"/>
        </w:numPr>
        <w:spacing w:after="80" w:line="300"/>
        <w:ind w:left="400"/>
      </w:pPr>
      <w:r>
        <w:rPr>
          <w:rFonts w:ascii="Calibri" w:cs="Calibri" w:eastAsia="Calibri" w:hAnsi="Calibri"/>
          <w:color w:val="1F2937"/>
          <w:sz w:val="22"/>
          <w:szCs w:val="22"/>
        </w:rPr>
        <w:t xml:space="preserve">VIX Level: Current CBOE Volatility Index value — the market's 'fear gauge'. Critical for regime detection.</w:t>
      </w:r>
    </w:p>
    <w:p>
      <w:pPr>
        <w:pStyle w:val="ListParagraph"/>
        <w:numPr>
          <w:ilvl w:val="0"/>
          <w:numId w:val="1"/>
        </w:numPr>
        <w:spacing w:after="80" w:line="300"/>
        <w:ind w:left="400"/>
      </w:pPr>
      <w:r>
        <w:rPr>
          <w:rFonts w:ascii="Calibri" w:cs="Calibri" w:eastAsia="Calibri" w:hAnsi="Calibri"/>
          <w:color w:val="1F2937"/>
          <w:sz w:val="22"/>
          <w:szCs w:val="22"/>
        </w:rPr>
        <w:t xml:space="preserve">Lag Features: Returns of BTC, Gold, and S&amp;P 500 lagged by 1, 2, 3, 5, and 10 days to capture autocorrelation.</w:t>
      </w:r>
    </w:p>
    <w:p>
      <w:pPr>
        <w:pStyle w:val="ListParagraph"/>
        <w:numPr>
          <w:ilvl w:val="0"/>
          <w:numId w:val="1"/>
        </w:numPr>
        <w:spacing w:after="80" w:line="300"/>
        <w:ind w:left="400"/>
      </w:pPr>
      <w:r>
        <w:rPr>
          <w:rFonts w:ascii="Calibri" w:cs="Calibri" w:eastAsia="Calibri" w:hAnsi="Calibri"/>
          <w:color w:val="1F2937"/>
          <w:sz w:val="22"/>
          <w:szCs w:val="22"/>
        </w:rPr>
        <w:t xml:space="preserve">Momentum: 5-day, 10-day, and 20-day price momentum indicators.</w:t>
      </w:r>
    </w:p>
    <w:p>
      <w:pPr>
        <w:pStyle w:val="ListParagraph"/>
        <w:numPr>
          <w:ilvl w:val="0"/>
          <w:numId w:val="1"/>
        </w:numPr>
        <w:spacing w:after="80" w:line="300"/>
        <w:ind w:left="400"/>
      </w:pPr>
      <w:r>
        <w:rPr>
          <w:rFonts w:ascii="Calibri" w:cs="Calibri" w:eastAsia="Calibri" w:hAnsi="Calibri"/>
          <w:color w:val="1F2937"/>
          <w:sz w:val="22"/>
          <w:szCs w:val="22"/>
        </w:rPr>
        <w:t xml:space="preserve">Relative Performance: BTC return relative to S&amp;P 500 return (cross-asset spread).</w:t>
      </w:r>
    </w:p>
    <w:p>
      <w:pPr>
        <w:spacing w:after="80"/>
      </w:pPr>
      <w:r>
        <w:t xml:space="preserve"/>
      </w:r>
    </w:p>
    <w:p>
      <w:pPr>
        <w:pStyle w:val="Heading2"/>
        <w:pBdr>
          <w:left w:val="single" w:color="C9A227" w:sz="20"/>
        </w:pBdr>
        <w:spacing w:after="100" w:before="320"/>
        <w:ind w:left="200"/>
      </w:pPr>
      <w:r>
        <w:t xml:space="preserve">6.2  Market Regime Classification — Random Forest</w:t>
      </w:r>
    </w:p>
    <w:p>
      <w:pPr>
        <w:spacing w:after="120" w:line="340"/>
        <w:jc w:val="both"/>
      </w:pPr>
      <w:r>
        <w:rPr>
          <w:rFonts w:ascii="Calibri" w:cs="Calibri" w:eastAsia="Calibri" w:hAnsi="Calibri"/>
          <w:b w:val="false"/>
          <w:bCs w:val="false"/>
          <w:i w:val="false"/>
          <w:iCs w:val="false"/>
          <w:color w:val="1F2937"/>
          <w:sz w:val="22"/>
          <w:szCs w:val="22"/>
        </w:rPr>
        <w:t xml:space="preserve">A Random Forest (RF) classifier was trained to identify three distinct market regimes from historical data. The target variable (market regime) was defined based on rolling return and VIX thresholds: Bull (positive trend, VIX &lt; 20), Bear (negative trend, VIX &gt; 25), and Sideways (mixed signals).</w:t>
      </w:r>
    </w:p>
    <w:p>
      <w:pPr>
        <w:pStyle w:val="Heading3"/>
        <w:spacing w:after="80" w:before="200"/>
      </w:pPr>
      <w:r>
        <w:t xml:space="preserve">6.2.1  Random Forest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Parameter</w:t>
            </w:r>
          </w:p>
        </w:tc>
        <w:tc>
          <w:tcPr>
            <w:tcW w:type="dxa" w:w="20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Value</w:t>
            </w:r>
          </w:p>
        </w:tc>
        <w:tc>
          <w:tcPr>
            <w:tcW w:type="dxa" w:w="35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Rationale</w:t>
            </w:r>
          </w:p>
        </w:tc>
      </w:tr>
      <w:tr>
        <w:tc>
          <w:tcPr>
            <w:tcW w:type="dxa" w:w="35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Number of Trees (n_estimators)</w:t>
            </w:r>
          </w:p>
        </w:tc>
        <w:tc>
          <w:tcPr>
            <w:tcW w:type="dxa" w:w="20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500</w:t>
            </w:r>
          </w:p>
        </w:tc>
        <w:tc>
          <w:tcPr>
            <w:tcW w:type="dxa" w:w="3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Balance between variance reduction and computational cost</w:t>
            </w:r>
          </w:p>
        </w:tc>
      </w:tr>
      <w:tr>
        <w:tc>
          <w:tcPr>
            <w:tcW w:type="dxa" w:w="35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Max Depth</w:t>
            </w:r>
          </w:p>
        </w:tc>
        <w:tc>
          <w:tcPr>
            <w:tcW w:type="dxa" w:w="20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(fully grown)</w:t>
            </w:r>
          </w:p>
        </w:tc>
        <w:tc>
          <w:tcPr>
            <w:tcW w:type="dxa" w:w="3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Allow trees to capture non-linear interactions</w:t>
            </w:r>
          </w:p>
        </w:tc>
      </w:tr>
      <w:tr>
        <w:tc>
          <w:tcPr>
            <w:tcW w:type="dxa" w:w="35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Max Features</w:t>
            </w:r>
          </w:p>
        </w:tc>
        <w:tc>
          <w:tcPr>
            <w:tcW w:type="dxa" w:w="20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sqrt(n_features)</w:t>
            </w:r>
          </w:p>
        </w:tc>
        <w:tc>
          <w:tcPr>
            <w:tcW w:type="dxa" w:w="3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Standard Breiman (2001) recommendation</w:t>
            </w:r>
          </w:p>
        </w:tc>
      </w:tr>
      <w:tr>
        <w:tc>
          <w:tcPr>
            <w:tcW w:type="dxa" w:w="35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Min Samples Split</w:t>
            </w:r>
          </w:p>
        </w:tc>
        <w:tc>
          <w:tcPr>
            <w:tcW w:type="dxa" w:w="20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w:t>
            </w:r>
          </w:p>
        </w:tc>
        <w:tc>
          <w:tcPr>
            <w:tcW w:type="dxa" w:w="3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Prevents overfitting on small leaf nodes</w:t>
            </w:r>
          </w:p>
        </w:tc>
      </w:tr>
      <w:tr>
        <w:tc>
          <w:tcPr>
            <w:tcW w:type="dxa" w:w="35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Class Weight</w:t>
            </w:r>
          </w:p>
        </w:tc>
        <w:tc>
          <w:tcPr>
            <w:tcW w:type="dxa" w:w="20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balanced</w:t>
            </w:r>
          </w:p>
        </w:tc>
        <w:tc>
          <w:tcPr>
            <w:tcW w:type="dxa" w:w="3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Accounts for regime class imbalance</w:t>
            </w:r>
          </w:p>
        </w:tc>
      </w:tr>
      <w:tr>
        <w:tc>
          <w:tcPr>
            <w:tcW w:type="dxa" w:w="35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Train / Test Split</w:t>
            </w:r>
          </w:p>
        </w:tc>
        <w:tc>
          <w:tcPr>
            <w:tcW w:type="dxa" w:w="20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80% / 20%</w:t>
            </w:r>
          </w:p>
        </w:tc>
        <w:tc>
          <w:tcPr>
            <w:tcW w:type="dxa" w:w="3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Chronological split — no data leakage</w:t>
            </w:r>
          </w:p>
        </w:tc>
      </w:tr>
      <w:tr>
        <w:tc>
          <w:tcPr>
            <w:tcW w:type="dxa" w:w="35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Cross-Validation</w:t>
            </w:r>
          </w:p>
        </w:tc>
        <w:tc>
          <w:tcPr>
            <w:tcW w:type="dxa" w:w="20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5-Fold TimeSeriesSplit</w:t>
            </w:r>
          </w:p>
        </w:tc>
        <w:tc>
          <w:tcPr>
            <w:tcW w:type="dxa" w:w="3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Respects temporal ordering</w:t>
            </w:r>
          </w:p>
        </w:tc>
      </w:tr>
      <w:tr>
        <w:tc>
          <w:tcPr>
            <w:tcW w:type="dxa" w:w="35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Random State</w:t>
            </w:r>
          </w:p>
        </w:tc>
        <w:tc>
          <w:tcPr>
            <w:tcW w:type="dxa" w:w="20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42</w:t>
            </w:r>
          </w:p>
        </w:tc>
        <w:tc>
          <w:tcPr>
            <w:tcW w:type="dxa" w:w="3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Reproducibility</w:t>
            </w:r>
          </w:p>
        </w:tc>
      </w:tr>
    </w:tbl>
    <w:p>
      <w:pPr>
        <w:spacing w:after="80"/>
      </w:pPr>
      <w:r>
        <w:t xml:space="preserve"/>
      </w:r>
    </w:p>
    <w:p>
      <w:pPr>
        <w:pStyle w:val="Heading3"/>
        <w:spacing w:after="80" w:before="200"/>
      </w:pPr>
      <w:r>
        <w:t xml:space="preserve">6.2.2  Classification Results</w:t>
      </w:r>
    </w:p>
    <w:p>
      <w:pPr>
        <w:spacing w:after="160" w:before="160"/>
        <w:jc w:val="center"/>
      </w:pPr>
      <w:r>
        <w:rPr>
          <w:rFonts w:ascii="Calibri" w:cs="Calibri" w:eastAsia="Calibri" w:hAnsi="Calibri"/>
          <w:b/>
          <w:bCs/>
          <w:color w:val="132048"/>
          <w:sz w:val="22"/>
          <w:szCs w:val="22"/>
        </w:rPr>
        <w:t xml:space="preserve">Overall Accuracy: </w:t>
      </w:r>
      <w:r>
        <w:rPr>
          <w:rFonts w:ascii="Calibri" w:cs="Calibri" w:eastAsia="Calibri" w:hAnsi="Calibri"/>
          <w:b/>
          <w:bCs/>
          <w:color w:val="065F46"/>
          <w:sz w:val="32"/>
          <w:szCs w:val="32"/>
        </w:rPr>
        <w:t xml:space="preserve">89.49%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96"/>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Market Regime</w:t>
            </w:r>
          </w:p>
        </w:tc>
        <w:tc>
          <w:tcPr>
            <w:tcW w:type="dxa" w:w="1558"/>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Precision</w:t>
            </w:r>
          </w:p>
        </w:tc>
        <w:tc>
          <w:tcPr>
            <w:tcW w:type="dxa" w:w="1558"/>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Recall</w:t>
            </w:r>
          </w:p>
        </w:tc>
        <w:tc>
          <w:tcPr>
            <w:tcW w:type="dxa" w:w="1558"/>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F1-Score</w:t>
            </w:r>
          </w:p>
        </w:tc>
        <w:tc>
          <w:tcPr>
            <w:tcW w:type="dxa" w:w="1731"/>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Support (days)</w:t>
            </w:r>
          </w:p>
        </w:tc>
      </w:tr>
      <w:tr>
        <w:tc>
          <w:tcPr>
            <w:tcW w:type="dxa" w:w="259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Bull Market</w:t>
            </w:r>
          </w:p>
        </w:tc>
        <w:tc>
          <w:tcPr>
            <w:tcW w:type="dxa" w:w="155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0.91</w:t>
            </w:r>
          </w:p>
        </w:tc>
        <w:tc>
          <w:tcPr>
            <w:tcW w:type="dxa" w:w="155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0.88</w:t>
            </w:r>
          </w:p>
        </w:tc>
        <w:tc>
          <w:tcPr>
            <w:tcW w:type="dxa" w:w="155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0.89</w:t>
            </w:r>
          </w:p>
        </w:tc>
        <w:tc>
          <w:tcPr>
            <w:tcW w:type="dxa" w:w="173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310</w:t>
            </w:r>
          </w:p>
        </w:tc>
      </w:tr>
      <w:tr>
        <w:tc>
          <w:tcPr>
            <w:tcW w:type="dxa" w:w="259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Bear Market</w:t>
            </w:r>
          </w:p>
        </w:tc>
        <w:tc>
          <w:tcPr>
            <w:tcW w:type="dxa" w:w="155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0.87</w:t>
            </w:r>
          </w:p>
        </w:tc>
        <w:tc>
          <w:tcPr>
            <w:tcW w:type="dxa" w:w="155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0.90</w:t>
            </w:r>
          </w:p>
        </w:tc>
        <w:tc>
          <w:tcPr>
            <w:tcW w:type="dxa" w:w="155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0.88</w:t>
            </w:r>
          </w:p>
        </w:tc>
        <w:tc>
          <w:tcPr>
            <w:tcW w:type="dxa" w:w="173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148</w:t>
            </w:r>
          </w:p>
        </w:tc>
      </w:tr>
      <w:tr>
        <w:tc>
          <w:tcPr>
            <w:tcW w:type="dxa" w:w="259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Sideways</w:t>
            </w:r>
          </w:p>
        </w:tc>
        <w:tc>
          <w:tcPr>
            <w:tcW w:type="dxa" w:w="155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0.86</w:t>
            </w:r>
          </w:p>
        </w:tc>
        <w:tc>
          <w:tcPr>
            <w:tcW w:type="dxa" w:w="155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0.85</w:t>
            </w:r>
          </w:p>
        </w:tc>
        <w:tc>
          <w:tcPr>
            <w:tcW w:type="dxa" w:w="155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0.85</w:t>
            </w:r>
          </w:p>
        </w:tc>
        <w:tc>
          <w:tcPr>
            <w:tcW w:type="dxa" w:w="173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102</w:t>
            </w:r>
          </w:p>
        </w:tc>
      </w:tr>
      <w:tr>
        <w:tc>
          <w:tcPr>
            <w:tcW w:type="dxa" w:w="259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sz w:val="20"/>
                <w:szCs w:val="20"/>
              </w:rPr>
              <w:t xml:space="preserve">Weighted Avg</w:t>
            </w:r>
          </w:p>
        </w:tc>
        <w:tc>
          <w:tcPr>
            <w:tcW w:type="dxa" w:w="155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0.88</w:t>
            </w:r>
          </w:p>
        </w:tc>
        <w:tc>
          <w:tcPr>
            <w:tcW w:type="dxa" w:w="155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0.88</w:t>
            </w:r>
          </w:p>
        </w:tc>
        <w:tc>
          <w:tcPr>
            <w:tcW w:type="dxa" w:w="155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0.88</w:t>
            </w:r>
          </w:p>
        </w:tc>
        <w:tc>
          <w:tcPr>
            <w:tcW w:type="dxa" w:w="173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560</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065F46" w:val="solid"/>
          </w:tcPr>
          <w:p>
            <w:r>
              <w:t xml:space="preserve"/>
            </w:r>
          </w:p>
        </w:tc>
        <w:tc>
          <w:tcPr>
            <w:tcW w:type="pct" w:w="98%"/>
            <w:tcBorders>
              <w:top w:val="none"/>
              <w:left w:val="none"/>
              <w:bottom w:val="none"/>
              <w:right w:val="none"/>
            </w:tcBorders>
            <w:shd w:fill="ECFDF5" w:val="solid"/>
            <w:tcMar>
              <w:top w:type="dxa" w:w="120"/>
              <w:left w:type="dxa" w:w="200"/>
              <w:bottom w:type="dxa" w:w="120"/>
              <w:right w:type="dxa" w:w="200"/>
            </w:tcMar>
          </w:tcPr>
          <w:p>
            <w:pPr>
              <w:spacing w:after="60"/>
            </w:pPr>
            <w:r>
              <w:rPr>
                <w:rFonts w:ascii="Calibri" w:cs="Calibri" w:eastAsia="Calibri" w:hAnsi="Calibri"/>
                <w:b/>
                <w:bCs/>
                <w:color w:val="065F46"/>
                <w:sz w:val="20"/>
                <w:szCs w:val="20"/>
              </w:rPr>
              <w:t xml:space="preserve">✅  Key Insight — Classification Accuracy</w:t>
            </w:r>
          </w:p>
          <w:p>
            <w:pPr>
              <w:spacing w:after="0"/>
              <w:jc w:val="both"/>
            </w:pPr>
            <w:r>
              <w:rPr>
                <w:rFonts w:ascii="Calibri" w:cs="Calibri" w:eastAsia="Calibri" w:hAnsi="Calibri"/>
                <w:color w:val="374151"/>
                <w:sz w:val="21"/>
                <w:szCs w:val="21"/>
              </w:rPr>
              <w:t xml:space="preserve">89.49% accuracy on a 3-class financial classification problem is a robust result. The model correctly identifies 9 out of every 10 market regime transitions. Bear market recall of 0.90 is particularly important — it means the model rarely misses a downturn, which is critical for defensive portfolio management.</w:t>
            </w:r>
          </w:p>
        </w:tc>
      </w:tr>
    </w:tbl>
    <w:p>
      <w:pPr>
        <w:spacing w:after="80"/>
      </w:pPr>
      <w:r>
        <w:t xml:space="preserve"/>
      </w:r>
    </w:p>
    <w:p>
      <w:pPr>
        <w:pStyle w:val="Heading3"/>
        <w:spacing w:after="80" w:before="200"/>
      </w:pPr>
      <w:r>
        <w:t xml:space="preserve">6.2.3  Feature Importance Analysis</w:t>
      </w:r>
    </w:p>
    <w:p>
      <w:pPr>
        <w:spacing w:after="120" w:line="340"/>
        <w:jc w:val="both"/>
      </w:pPr>
      <w:r>
        <w:rPr>
          <w:rFonts w:ascii="Calibri" w:cs="Calibri" w:eastAsia="Calibri" w:hAnsi="Calibri"/>
          <w:b w:val="false"/>
          <w:bCs w:val="false"/>
          <w:i w:val="false"/>
          <w:iCs w:val="false"/>
          <w:color w:val="1F2937"/>
          <w:sz w:val="22"/>
          <w:szCs w:val="22"/>
        </w:rPr>
        <w:t xml:space="preserve">Random Forest's built-in feature importance (mean decrease in Gini impurity) reveals which signals most determine market regime: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33"/>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Rank</w:t>
            </w:r>
          </w:p>
        </w:tc>
        <w:tc>
          <w:tcPr>
            <w:tcW w:type="dxa" w:w="2333"/>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Feature</w:t>
            </w:r>
          </w:p>
        </w:tc>
        <w:tc>
          <w:tcPr>
            <w:tcW w:type="dxa" w:w="1667"/>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Importance Score</w:t>
            </w:r>
          </w:p>
        </w:tc>
        <w:tc>
          <w:tcPr>
            <w:tcW w:type="dxa" w:w="1667"/>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Cumulative %</w:t>
            </w:r>
          </w:p>
        </w:tc>
        <w:tc>
          <w:tcPr>
            <w:tcW w:type="dxa" w:w="25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Interpretation</w:t>
            </w:r>
          </w:p>
        </w:tc>
      </w:tr>
      <w:tr>
        <w:tc>
          <w:tcPr>
            <w:tcW w:type="dxa" w:w="833"/>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1</w:t>
            </w:r>
          </w:p>
        </w:tc>
        <w:tc>
          <w:tcPr>
            <w:tcW w:type="dxa" w:w="233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VIX Level</w:t>
            </w:r>
          </w:p>
        </w:tc>
        <w:tc>
          <w:tcPr>
            <w:tcW w:type="dxa" w:w="166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132048"/>
                <w:sz w:val="20"/>
                <w:szCs w:val="20"/>
              </w:rPr>
              <w:t xml:space="preserve">0.28</w:t>
            </w:r>
          </w:p>
        </w:tc>
        <w:tc>
          <w:tcPr>
            <w:tcW w:type="dxa" w:w="166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28.0%</w:t>
            </w:r>
          </w:p>
        </w:tc>
        <w:tc>
          <w:tcPr>
            <w:tcW w:type="dxa" w:w="2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Fear index is the strongest regime signal</w:t>
            </w:r>
          </w:p>
        </w:tc>
      </w:tr>
      <w:tr>
        <w:tc>
          <w:tcPr>
            <w:tcW w:type="dxa" w:w="833"/>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w:t>
            </w:r>
          </w:p>
        </w:tc>
        <w:tc>
          <w:tcPr>
            <w:tcW w:type="dxa" w:w="233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Rolling Volatility 30d</w:t>
            </w:r>
          </w:p>
        </w:tc>
        <w:tc>
          <w:tcPr>
            <w:tcW w:type="dxa" w:w="166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132048"/>
                <w:sz w:val="20"/>
                <w:szCs w:val="20"/>
              </w:rPr>
              <w:t xml:space="preserve">0.24</w:t>
            </w:r>
          </w:p>
        </w:tc>
        <w:tc>
          <w:tcPr>
            <w:tcW w:type="dxa" w:w="166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52.0%</w:t>
            </w:r>
          </w:p>
        </w:tc>
        <w:tc>
          <w:tcPr>
            <w:tcW w:type="dxa" w:w="2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Recent volatility confirms regime state</w:t>
            </w:r>
          </w:p>
        </w:tc>
      </w:tr>
      <w:tr>
        <w:tc>
          <w:tcPr>
            <w:tcW w:type="dxa" w:w="833"/>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3</w:t>
            </w:r>
          </w:p>
        </w:tc>
        <w:tc>
          <w:tcPr>
            <w:tcW w:type="dxa" w:w="233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BTC–SP500 Correlation</w:t>
            </w:r>
          </w:p>
        </w:tc>
        <w:tc>
          <w:tcPr>
            <w:tcW w:type="dxa" w:w="166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132048"/>
                <w:sz w:val="20"/>
                <w:szCs w:val="20"/>
              </w:rPr>
              <w:t xml:space="preserve">0.18</w:t>
            </w:r>
          </w:p>
        </w:tc>
        <w:tc>
          <w:tcPr>
            <w:tcW w:type="dxa" w:w="166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70.0%</w:t>
            </w:r>
          </w:p>
        </w:tc>
        <w:tc>
          <w:tcPr>
            <w:tcW w:type="dxa" w:w="2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Correlation shifts mark regime boundaries</w:t>
            </w:r>
          </w:p>
        </w:tc>
      </w:tr>
      <w:tr>
        <w:tc>
          <w:tcPr>
            <w:tcW w:type="dxa" w:w="833"/>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4</w:t>
            </w:r>
          </w:p>
        </w:tc>
        <w:tc>
          <w:tcPr>
            <w:tcW w:type="dxa" w:w="233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BTC Lagged Return (1d)</w:t>
            </w:r>
          </w:p>
        </w:tc>
        <w:tc>
          <w:tcPr>
            <w:tcW w:type="dxa" w:w="166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6B7280"/>
                <w:sz w:val="20"/>
                <w:szCs w:val="20"/>
              </w:rPr>
              <w:t xml:space="preserve">0.14</w:t>
            </w:r>
          </w:p>
        </w:tc>
        <w:tc>
          <w:tcPr>
            <w:tcW w:type="dxa" w:w="166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84.0%</w:t>
            </w:r>
          </w:p>
        </w:tc>
        <w:tc>
          <w:tcPr>
            <w:tcW w:type="dxa" w:w="2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Short-term momentum</w:t>
            </w:r>
          </w:p>
        </w:tc>
      </w:tr>
      <w:tr>
        <w:tc>
          <w:tcPr>
            <w:tcW w:type="dxa" w:w="833"/>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5</w:t>
            </w:r>
          </w:p>
        </w:tc>
        <w:tc>
          <w:tcPr>
            <w:tcW w:type="dxa" w:w="233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Gold Return</w:t>
            </w:r>
          </w:p>
        </w:tc>
        <w:tc>
          <w:tcPr>
            <w:tcW w:type="dxa" w:w="166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6B7280"/>
                <w:sz w:val="20"/>
                <w:szCs w:val="20"/>
              </w:rPr>
              <w:t xml:space="preserve">0.09</w:t>
            </w:r>
          </w:p>
        </w:tc>
        <w:tc>
          <w:tcPr>
            <w:tcW w:type="dxa" w:w="166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93.0%</w:t>
            </w:r>
          </w:p>
        </w:tc>
        <w:tc>
          <w:tcPr>
            <w:tcW w:type="dxa" w:w="2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Safe-haven flow indicator</w:t>
            </w:r>
          </w:p>
        </w:tc>
      </w:tr>
      <w:tr>
        <w:tc>
          <w:tcPr>
            <w:tcW w:type="dxa" w:w="833"/>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6</w:t>
            </w:r>
          </w:p>
        </w:tc>
        <w:tc>
          <w:tcPr>
            <w:tcW w:type="dxa" w:w="233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SP500 Return</w:t>
            </w:r>
          </w:p>
        </w:tc>
        <w:tc>
          <w:tcPr>
            <w:tcW w:type="dxa" w:w="166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6B7280"/>
                <w:sz w:val="20"/>
                <w:szCs w:val="20"/>
              </w:rPr>
              <w:t xml:space="preserve">0.07</w:t>
            </w:r>
          </w:p>
        </w:tc>
        <w:tc>
          <w:tcPr>
            <w:tcW w:type="dxa" w:w="166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100%</w:t>
            </w:r>
          </w:p>
        </w:tc>
        <w:tc>
          <w:tcPr>
            <w:tcW w:type="dxa" w:w="2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Equity market backdrop</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C9A227" w:val="solid"/>
          </w:tcPr>
          <w:p>
            <w:r>
              <w:t xml:space="preserve"/>
            </w:r>
          </w:p>
        </w:tc>
        <w:tc>
          <w:tcPr>
            <w:tcW w:type="pct" w:w="98%"/>
            <w:tcBorders>
              <w:top w:val="none"/>
              <w:left w:val="none"/>
              <w:bottom w:val="none"/>
              <w:right w:val="none"/>
            </w:tcBorders>
            <w:shd w:fill="FFFBEB" w:val="solid"/>
            <w:tcMar>
              <w:top w:type="dxa" w:w="120"/>
              <w:left w:type="dxa" w:w="200"/>
              <w:bottom w:type="dxa" w:w="120"/>
              <w:right w:type="dxa" w:w="200"/>
            </w:tcMar>
          </w:tcPr>
          <w:p>
            <w:pPr>
              <w:spacing w:after="60"/>
            </w:pPr>
            <w:r>
              <w:rPr>
                <w:rFonts w:ascii="Calibri" w:cs="Calibri" w:eastAsia="Calibri" w:hAnsi="Calibri"/>
                <w:b/>
                <w:bCs/>
                <w:color w:val="C9A227"/>
                <w:sz w:val="20"/>
                <w:szCs w:val="20"/>
              </w:rPr>
              <w:t xml:space="preserve">📊  Insight — VIX Dominance</w:t>
            </w:r>
          </w:p>
          <w:p>
            <w:pPr>
              <w:spacing w:after="0"/>
              <w:jc w:val="both"/>
            </w:pPr>
            <w:r>
              <w:rPr>
                <w:rFonts w:ascii="Calibri" w:cs="Calibri" w:eastAsia="Calibri" w:hAnsi="Calibri"/>
                <w:color w:val="374151"/>
                <w:sz w:val="21"/>
                <w:szCs w:val="21"/>
              </w:rPr>
              <w:t xml:space="preserve">VIX Level and Rolling Volatility-30d together explain 52% of all regime variation. This confirms that market regime transitions are primarily driven by investor fear and uncertainty, not by past returns alone. This finding aligns with behavioural finance theory, which identifies sentiment as a key driver of market state.</w:t>
            </w:r>
          </w:p>
        </w:tc>
      </w:tr>
    </w:tbl>
    <w:p>
      <w:pPr>
        <w:spacing w:after="80"/>
      </w:pPr>
      <w:r>
        <w:t xml:space="preserve"/>
      </w:r>
    </w:p>
    <w:p>
      <w:pPr>
        <w:pStyle w:val="Heading2"/>
        <w:pBdr>
          <w:left w:val="single" w:color="C9A227" w:sz="20"/>
        </w:pBdr>
        <w:spacing w:after="100" w:before="320"/>
        <w:ind w:left="200"/>
      </w:pPr>
      <w:r>
        <w:t xml:space="preserve">6.3  Return Prediction — Multi-Model Comparison</w:t>
      </w:r>
    </w:p>
    <w:p>
      <w:pPr>
        <w:spacing w:after="120" w:line="340"/>
        <w:jc w:val="both"/>
      </w:pPr>
      <w:r>
        <w:rPr>
          <w:rFonts w:ascii="Calibri" w:cs="Calibri" w:eastAsia="Calibri" w:hAnsi="Calibri"/>
          <w:b w:val="false"/>
          <w:bCs w:val="false"/>
          <w:i w:val="false"/>
          <w:iCs w:val="false"/>
          <w:color w:val="1F2937"/>
          <w:sz w:val="22"/>
          <w:szCs w:val="22"/>
        </w:rPr>
        <w:t xml:space="preserve">Beyond classification, ML models were tested for their ability to predict the direction and magnitude of Bitcoin's next-day log return. This is a fundamentally harder problem because daily financial returns closely approximate a random walk (Efficient Market Hypothesis).</w:t>
      </w:r>
    </w:p>
    <w:p>
      <w:pPr>
        <w:pStyle w:val="Heading3"/>
        <w:spacing w:after="80" w:before="200"/>
      </w:pPr>
      <w:r>
        <w:t xml:space="preserve">6.3.1  Models Evaluated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957"/>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Model</w:t>
            </w:r>
          </w:p>
        </w:tc>
        <w:tc>
          <w:tcPr>
            <w:tcW w:type="dxa" w:w="156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Type</w:t>
            </w:r>
          </w:p>
        </w:tc>
        <w:tc>
          <w:tcPr>
            <w:tcW w:type="dxa" w:w="117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R² Score</w:t>
            </w:r>
          </w:p>
        </w:tc>
        <w:tc>
          <w:tcPr>
            <w:tcW w:type="dxa" w:w="117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RMSE</w:t>
            </w:r>
          </w:p>
        </w:tc>
        <w:tc>
          <w:tcPr>
            <w:tcW w:type="dxa" w:w="1409"/>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Test Accuracy</w:t>
            </w:r>
          </w:p>
        </w:tc>
        <w:tc>
          <w:tcPr>
            <w:tcW w:type="dxa" w:w="1722"/>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Assessment</w:t>
            </w:r>
          </w:p>
        </w:tc>
      </w:tr>
      <w:tr>
        <w:tc>
          <w:tcPr>
            <w:tcW w:type="dxa" w:w="1957"/>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Random Forest</w:t>
            </w:r>
          </w:p>
        </w:tc>
        <w:tc>
          <w:tcPr>
            <w:tcW w:type="dxa" w:w="156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Classical ML</w:t>
            </w:r>
          </w:p>
        </w:tc>
        <w:tc>
          <w:tcPr>
            <w:tcW w:type="dxa" w:w="117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0.22</w:t>
            </w:r>
          </w:p>
        </w:tc>
        <w:tc>
          <w:tcPr>
            <w:tcW w:type="dxa" w:w="117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0.0381</w:t>
            </w:r>
          </w:p>
        </w:tc>
        <w:tc>
          <w:tcPr>
            <w:tcW w:type="dxa" w:w="14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64%</w:t>
            </w:r>
          </w:p>
        </w:tc>
        <w:tc>
          <w:tcPr>
            <w:tcW w:type="dxa" w:w="1722"/>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065F46"/>
                <w:sz w:val="20"/>
                <w:szCs w:val="20"/>
              </w:rPr>
              <w:t xml:space="preserve">✅ Best Performer</w:t>
            </w:r>
          </w:p>
        </w:tc>
      </w:tr>
      <w:tr>
        <w:tc>
          <w:tcPr>
            <w:tcW w:type="dxa" w:w="1957"/>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XGBoost</w:t>
            </w:r>
          </w:p>
        </w:tc>
        <w:tc>
          <w:tcPr>
            <w:tcW w:type="dxa" w:w="156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Gradient Boost</w:t>
            </w:r>
          </w:p>
        </w:tc>
        <w:tc>
          <w:tcPr>
            <w:tcW w:type="dxa" w:w="117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0.21</w:t>
            </w:r>
          </w:p>
        </w:tc>
        <w:tc>
          <w:tcPr>
            <w:tcW w:type="dxa" w:w="117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0.0389</w:t>
            </w:r>
          </w:p>
        </w:tc>
        <w:tc>
          <w:tcPr>
            <w:tcW w:type="dxa" w:w="14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63%</w:t>
            </w:r>
          </w:p>
        </w:tc>
        <w:tc>
          <w:tcPr>
            <w:tcW w:type="dxa" w:w="1722"/>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065F46"/>
                <w:sz w:val="20"/>
                <w:szCs w:val="20"/>
              </w:rPr>
              <w:t xml:space="preserve">✅ Close Second</w:t>
            </w:r>
          </w:p>
        </w:tc>
      </w:tr>
      <w:tr>
        <w:tc>
          <w:tcPr>
            <w:tcW w:type="dxa" w:w="1957"/>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Ridge Regression</w:t>
            </w:r>
          </w:p>
        </w:tc>
        <w:tc>
          <w:tcPr>
            <w:tcW w:type="dxa" w:w="156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Linear ML</w:t>
            </w:r>
          </w:p>
        </w:tc>
        <w:tc>
          <w:tcPr>
            <w:tcW w:type="dxa" w:w="117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w:t>
            </w:r>
          </w:p>
        </w:tc>
        <w:tc>
          <w:tcPr>
            <w:tcW w:type="dxa" w:w="117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0.0401</w:t>
            </w:r>
          </w:p>
        </w:tc>
        <w:tc>
          <w:tcPr>
            <w:tcW w:type="dxa" w:w="14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52%</w:t>
            </w:r>
          </w:p>
        </w:tc>
        <w:tc>
          <w:tcPr>
            <w:tcW w:type="dxa" w:w="1722"/>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Baseline</w:t>
            </w:r>
          </w:p>
        </w:tc>
      </w:tr>
      <w:tr>
        <w:tc>
          <w:tcPr>
            <w:tcW w:type="dxa" w:w="1957"/>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Linear Regression</w:t>
            </w:r>
          </w:p>
        </w:tc>
        <w:tc>
          <w:tcPr>
            <w:tcW w:type="dxa" w:w="156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Linear ML</w:t>
            </w:r>
          </w:p>
        </w:tc>
        <w:tc>
          <w:tcPr>
            <w:tcW w:type="dxa" w:w="117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w:t>
            </w:r>
          </w:p>
        </w:tc>
        <w:tc>
          <w:tcPr>
            <w:tcW w:type="dxa" w:w="117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0.0401</w:t>
            </w:r>
          </w:p>
        </w:tc>
        <w:tc>
          <w:tcPr>
            <w:tcW w:type="dxa" w:w="14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52%</w:t>
            </w:r>
          </w:p>
        </w:tc>
        <w:tc>
          <w:tcPr>
            <w:tcW w:type="dxa" w:w="1722"/>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Baseline</w:t>
            </w:r>
          </w:p>
        </w:tc>
      </w:tr>
      <w:tr>
        <w:tc>
          <w:tcPr>
            <w:tcW w:type="dxa" w:w="1957"/>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LSTM</w:t>
            </w:r>
          </w:p>
        </w:tc>
        <w:tc>
          <w:tcPr>
            <w:tcW w:type="dxa" w:w="156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Deep Learning</w:t>
            </w:r>
          </w:p>
        </w:tc>
        <w:tc>
          <w:tcPr>
            <w:tcW w:type="dxa" w:w="117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−0.18</w:t>
            </w:r>
          </w:p>
        </w:tc>
        <w:tc>
          <w:tcPr>
            <w:tcW w:type="dxa" w:w="117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0.0522</w:t>
            </w:r>
          </w:p>
        </w:tc>
        <w:tc>
          <w:tcPr>
            <w:tcW w:type="dxa" w:w="14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41%</w:t>
            </w:r>
          </w:p>
        </w:tc>
        <w:tc>
          <w:tcPr>
            <w:tcW w:type="dxa" w:w="1722"/>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991B1B"/>
                <w:sz w:val="20"/>
                <w:szCs w:val="20"/>
              </w:rPr>
              <w:t xml:space="preserve">❌ Failed</w:t>
            </w:r>
          </w:p>
        </w:tc>
      </w:tr>
      <w:tr>
        <w:tc>
          <w:tcPr>
            <w:tcW w:type="dxa" w:w="1957"/>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GRU</w:t>
            </w:r>
          </w:p>
        </w:tc>
        <w:tc>
          <w:tcPr>
            <w:tcW w:type="dxa" w:w="156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Deep Learning</w:t>
            </w:r>
          </w:p>
        </w:tc>
        <w:tc>
          <w:tcPr>
            <w:tcW w:type="dxa" w:w="117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−0.12</w:t>
            </w:r>
          </w:p>
        </w:tc>
        <w:tc>
          <w:tcPr>
            <w:tcW w:type="dxa" w:w="117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0.0498</w:t>
            </w:r>
          </w:p>
        </w:tc>
        <w:tc>
          <w:tcPr>
            <w:tcW w:type="dxa" w:w="14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45%</w:t>
            </w:r>
          </w:p>
        </w:tc>
        <w:tc>
          <w:tcPr>
            <w:tcW w:type="dxa" w:w="1722"/>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991B1B"/>
                <w:sz w:val="20"/>
                <w:szCs w:val="20"/>
              </w:rPr>
              <w:t xml:space="preserve">❌ Failed</w:t>
            </w:r>
          </w:p>
        </w:tc>
      </w:tr>
    </w:tbl>
    <w:p>
      <w:pPr>
        <w:spacing w:after="80"/>
      </w:pPr>
      <w:r>
        <w:t xml:space="preserve"/>
      </w:r>
    </w:p>
    <w:p>
      <w:pPr>
        <w:pStyle w:val="Heading3"/>
        <w:spacing w:after="80" w:before="200"/>
      </w:pPr>
      <w:r>
        <w:t xml:space="preserve">6.3.2  XGBoost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42"/>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Hyperparameter</w:t>
            </w:r>
          </w:p>
        </w:tc>
        <w:tc>
          <w:tcPr>
            <w:tcW w:type="dxa" w:w="189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Value</w:t>
            </w:r>
          </w:p>
        </w:tc>
        <w:tc>
          <w:tcPr>
            <w:tcW w:type="dxa" w:w="4263"/>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Purpose</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n_estimators</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500</w:t>
            </w:r>
          </w:p>
        </w:tc>
        <w:tc>
          <w:tcPr>
            <w:tcW w:type="dxa" w:w="426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Number of boosting rounds</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max_depth</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w:t>
            </w:r>
          </w:p>
        </w:tc>
        <w:tc>
          <w:tcPr>
            <w:tcW w:type="dxa" w:w="426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Controls model complexity — prevents overfitting</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learning_rate</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0.05</w:t>
            </w:r>
          </w:p>
        </w:tc>
        <w:tc>
          <w:tcPr>
            <w:tcW w:type="dxa" w:w="426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Shrinkage parameter for regularization</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subsample</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0.8</w:t>
            </w:r>
          </w:p>
        </w:tc>
        <w:tc>
          <w:tcPr>
            <w:tcW w:type="dxa" w:w="426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Fraction of samples used per tree</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colsample_bytree</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0.8</w:t>
            </w:r>
          </w:p>
        </w:tc>
        <w:tc>
          <w:tcPr>
            <w:tcW w:type="dxa" w:w="426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Feature sampling to reduce variance</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reg_alpha</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0.1</w:t>
            </w:r>
          </w:p>
        </w:tc>
        <w:tc>
          <w:tcPr>
            <w:tcW w:type="dxa" w:w="426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L1 regularization (Lasso-type)</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reg_lambda</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w:t>
            </w:r>
          </w:p>
        </w:tc>
        <w:tc>
          <w:tcPr>
            <w:tcW w:type="dxa" w:w="426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L2 regularization (Ridge-type)</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early_stopping</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20 rounds</w:t>
            </w:r>
          </w:p>
        </w:tc>
        <w:tc>
          <w:tcPr>
            <w:tcW w:type="dxa" w:w="426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Prevents overfitting on validation set</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C9A227" w:val="solid"/>
          </w:tcPr>
          <w:p>
            <w:r>
              <w:t xml:space="preserve"/>
            </w:r>
          </w:p>
        </w:tc>
        <w:tc>
          <w:tcPr>
            <w:tcW w:type="pct" w:w="98%"/>
            <w:tcBorders>
              <w:top w:val="none"/>
              <w:left w:val="none"/>
              <w:bottom w:val="none"/>
              <w:right w:val="none"/>
            </w:tcBorders>
            <w:shd w:fill="FFFBEB" w:val="solid"/>
            <w:tcMar>
              <w:top w:type="dxa" w:w="120"/>
              <w:left w:type="dxa" w:w="200"/>
              <w:bottom w:type="dxa" w:w="120"/>
              <w:right w:type="dxa" w:w="200"/>
            </w:tcMar>
          </w:tcPr>
          <w:p>
            <w:pPr>
              <w:spacing w:after="60"/>
            </w:pPr>
            <w:r>
              <w:rPr>
                <w:rFonts w:ascii="Calibri" w:cs="Calibri" w:eastAsia="Calibri" w:hAnsi="Calibri"/>
                <w:b/>
                <w:bCs/>
                <w:color w:val="C9A227"/>
                <w:sz w:val="20"/>
                <w:szCs w:val="20"/>
              </w:rPr>
              <w:t xml:space="preserve">⚠  Limitation — Random Walk Nature of Returns</w:t>
            </w:r>
          </w:p>
          <w:p>
            <w:pPr>
              <w:spacing w:after="0"/>
              <w:jc w:val="both"/>
            </w:pPr>
            <w:r>
              <w:rPr>
                <w:rFonts w:ascii="Calibri" w:cs="Calibri" w:eastAsia="Calibri" w:hAnsi="Calibri"/>
                <w:color w:val="374151"/>
                <w:sz w:val="21"/>
                <w:szCs w:val="21"/>
              </w:rPr>
              <w:t xml:space="preserve">The relatively modest R² values (0.21–0.22) for the best models reflect a fundamental constraint: daily financial returns are near-random. Even the best ML model can only capture a small fraction of the variation. This is not a failure of the models — it is evidence that the market is informationally efficient at the daily frequency. Models provide value through regime classification and risk management, not through precise return prediction.</w:t>
            </w:r>
          </w:p>
        </w:tc>
      </w:tr>
    </w:tbl>
    <w:p>
      <w:pPr>
        <w:spacing w:after="80"/>
      </w:pPr>
      <w:r>
        <w:t xml:space="preserve"/>
      </w:r>
    </w:p>
    <w:p>
      <w:pPr>
        <w:pStyle w:val="Heading2"/>
        <w:pBdr>
          <w:left w:val="single" w:color="C9A227" w:sz="20"/>
        </w:pBdr>
        <w:spacing w:after="100" w:before="320"/>
        <w:ind w:left="200"/>
      </w:pPr>
      <w:r>
        <w:t xml:space="preserve">6.4  Model Validation Methodology</w:t>
      </w:r>
    </w:p>
    <w:p>
      <w:pPr>
        <w:spacing w:after="120" w:line="340"/>
        <w:jc w:val="both"/>
      </w:pPr>
      <w:r>
        <w:rPr>
          <w:rFonts w:ascii="Calibri" w:cs="Calibri" w:eastAsia="Calibri" w:hAnsi="Calibri"/>
          <w:b w:val="false"/>
          <w:bCs w:val="false"/>
          <w:i w:val="false"/>
          <w:iCs w:val="false"/>
          <w:color w:val="1F2937"/>
          <w:sz w:val="22"/>
          <w:szCs w:val="22"/>
        </w:rPr>
        <w:t xml:space="preserve">To prevent data leakage — a critical concern in financial ML — all validation was conducted using a strict chronological train/test split and TimeSeriesSplit cross-validation:</w:t>
      </w:r>
    </w:p>
    <w:p>
      <w:pPr>
        <w:pStyle w:val="ListParagraph"/>
        <w:numPr>
          <w:ilvl w:val="0"/>
          <w:numId w:val="1"/>
        </w:numPr>
        <w:spacing w:after="80" w:line="300"/>
        <w:ind w:left="400"/>
      </w:pPr>
      <w:r>
        <w:rPr>
          <w:rFonts w:ascii="Calibri" w:cs="Calibri" w:eastAsia="Calibri" w:hAnsi="Calibri"/>
          <w:color w:val="1F2937"/>
          <w:sz w:val="22"/>
          <w:szCs w:val="22"/>
        </w:rPr>
        <w:t xml:space="preserve">Training Period: 80% of the dataset (approximately 2014–2023)</w:t>
      </w:r>
    </w:p>
    <w:p>
      <w:pPr>
        <w:pStyle w:val="ListParagraph"/>
        <w:numPr>
          <w:ilvl w:val="0"/>
          <w:numId w:val="1"/>
        </w:numPr>
        <w:spacing w:after="80" w:line="300"/>
        <w:ind w:left="400"/>
      </w:pPr>
      <w:r>
        <w:rPr>
          <w:rFonts w:ascii="Calibri" w:cs="Calibri" w:eastAsia="Calibri" w:hAnsi="Calibri"/>
          <w:color w:val="1F2937"/>
          <w:sz w:val="22"/>
          <w:szCs w:val="22"/>
        </w:rPr>
        <w:t xml:space="preserve">Testing Period: 20% held-out, chronologically after training data (approximately 2023–2025)</w:t>
      </w:r>
    </w:p>
    <w:p>
      <w:pPr>
        <w:pStyle w:val="ListParagraph"/>
        <w:numPr>
          <w:ilvl w:val="0"/>
          <w:numId w:val="1"/>
        </w:numPr>
        <w:spacing w:after="80" w:line="300"/>
        <w:ind w:left="400"/>
      </w:pPr>
      <w:r>
        <w:rPr>
          <w:rFonts w:ascii="Calibri" w:cs="Calibri" w:eastAsia="Calibri" w:hAnsi="Calibri"/>
          <w:color w:val="1F2937"/>
          <w:sz w:val="22"/>
          <w:szCs w:val="22"/>
        </w:rPr>
        <w:t xml:space="preserve">Cross-Validation: 5-fold TimeSeriesSplit (preserves temporal ordering, no future information leaked)</w:t>
      </w:r>
    </w:p>
    <w:p>
      <w:pPr>
        <w:pStyle w:val="ListParagraph"/>
        <w:numPr>
          <w:ilvl w:val="0"/>
          <w:numId w:val="1"/>
        </w:numPr>
        <w:spacing w:after="80" w:line="300"/>
        <w:ind w:left="400"/>
      </w:pPr>
      <w:r>
        <w:rPr>
          <w:rFonts w:ascii="Calibri" w:cs="Calibri" w:eastAsia="Calibri" w:hAnsi="Calibri"/>
          <w:color w:val="1F2937"/>
          <w:sz w:val="22"/>
          <w:szCs w:val="22"/>
        </w:rPr>
        <w:t xml:space="preserve">Feature scaling: StandardScaler fitted ONLY on training data, applied to test set</w:t>
      </w:r>
    </w:p>
    <w:p>
      <w:pPr>
        <w:pStyle w:val="ListParagraph"/>
        <w:numPr>
          <w:ilvl w:val="0"/>
          <w:numId w:val="1"/>
        </w:numPr>
        <w:spacing w:after="80" w:line="300"/>
        <w:ind w:left="400"/>
      </w:pPr>
      <w:r>
        <w:rPr>
          <w:rFonts w:ascii="Calibri" w:cs="Calibri" w:eastAsia="Calibri" w:hAnsi="Calibri"/>
          <w:color w:val="1F2937"/>
          <w:sz w:val="22"/>
          <w:szCs w:val="22"/>
        </w:rPr>
        <w:t xml:space="preserve">No future returns were used as features — all features are lagged</w:t>
      </w:r>
    </w:p>
    <w:p>
      <w:pPr>
        <w:spacing w:after="80"/>
      </w:pPr>
      <w:r>
        <w:t xml:space="preserve"/>
      </w:r>
    </w:p>
    <w:p>
      <w:r>
        <w:br w:type="page"/>
      </w:r>
    </w:p>
    <w:p>
      <w:pPr>
        <w:pBdr>
          <w:bottom w:val="single" w:color="C9A227" w:sz="12"/>
        </w:pBdr>
        <w:shd w:fill="132048" w:val="solid"/>
        <w:spacing w:after="200" w:before="200"/>
        <w:jc w:val="left"/>
      </w:pPr>
      <w:r>
        <w:rPr>
          <w:rFonts w:ascii="Calibri" w:cs="Calibri" w:eastAsia="Calibri" w:hAnsi="Calibri"/>
          <w:b/>
          <w:bCs/>
          <w:color w:val="FFFFFF"/>
          <w:sz w:val="36"/>
          <w:szCs w:val="36"/>
        </w:rPr>
        <w:t xml:space="preserve">Chapter 7: Deep Learning — LSTM &amp; GRU</w:t>
      </w:r>
    </w:p>
    <w:p>
      <w:pPr>
        <w:spacing w:after="80"/>
      </w:pPr>
      <w:r>
        <w:t xml:space="preserve"/>
      </w:r>
    </w:p>
    <w:p>
      <w:pPr>
        <w:pStyle w:val="Heading2"/>
        <w:pBdr>
          <w:left w:val="single" w:color="C9A227" w:sz="20"/>
        </w:pBdr>
        <w:spacing w:after="100" w:before="320"/>
        <w:ind w:left="200"/>
      </w:pPr>
      <w:r>
        <w:t xml:space="preserve">7.1  Deep Learning for Financial Time Series</w:t>
      </w:r>
    </w:p>
    <w:p>
      <w:pPr>
        <w:spacing w:after="120" w:line="340"/>
        <w:jc w:val="both"/>
      </w:pPr>
      <w:r>
        <w:rPr>
          <w:rFonts w:ascii="Calibri" w:cs="Calibri" w:eastAsia="Calibri" w:hAnsi="Calibri"/>
          <w:b w:val="false"/>
          <w:bCs w:val="false"/>
          <w:i w:val="false"/>
          <w:iCs w:val="false"/>
          <w:color w:val="1F2937"/>
          <w:sz w:val="22"/>
          <w:szCs w:val="22"/>
        </w:rPr>
        <w:t xml:space="preserve">Deep Learning models — particularly Recurrent Neural Networks (RNNs) — are theoretically well-suited for sequential financial data. Long Short-Term Memory (LSTM) networks and Gated Recurrent Units (GRUs) were specifically designed to capture long-range temporal dependencies that classical models may miss. This chapter documents their architecture, training, results, and a candid assessment of their performance relative to classical ML.</w:t>
      </w:r>
    </w:p>
    <w:p>
      <w:pPr>
        <w:pStyle w:val="Heading2"/>
        <w:pBdr>
          <w:left w:val="single" w:color="C9A227" w:sz="20"/>
        </w:pBdr>
        <w:spacing w:after="100" w:before="320"/>
        <w:ind w:left="200"/>
      </w:pPr>
      <w:r>
        <w:t xml:space="preserve">7.2  LSTM — Long Short-Term Memory</w:t>
      </w:r>
    </w:p>
    <w:p>
      <w:pPr>
        <w:pStyle w:val="Heading3"/>
        <w:spacing w:after="80" w:before="200"/>
      </w:pPr>
      <w:r>
        <w:t xml:space="preserve">7.2.1  Architecture &amp; Motivation</w:t>
      </w:r>
    </w:p>
    <w:p>
      <w:pPr>
        <w:spacing w:after="120" w:line="340"/>
        <w:jc w:val="both"/>
      </w:pPr>
      <w:r>
        <w:rPr>
          <w:rFonts w:ascii="Calibri" w:cs="Calibri" w:eastAsia="Calibri" w:hAnsi="Calibri"/>
          <w:b w:val="false"/>
          <w:bCs w:val="false"/>
          <w:i w:val="false"/>
          <w:iCs w:val="false"/>
          <w:color w:val="1F2937"/>
          <w:sz w:val="22"/>
          <w:szCs w:val="22"/>
        </w:rPr>
        <w:t xml:space="preserve">LSTM networks address the vanishing gradient problem in standard RNNs through a gating mechanism that allows the network to selectively retain or forget information over long sequences. Each LSTM cell contains three gates:</w:t>
      </w:r>
    </w:p>
    <w:p>
      <w:pPr>
        <w:pStyle w:val="ListParagraph"/>
        <w:numPr>
          <w:ilvl w:val="0"/>
          <w:numId w:val="1"/>
        </w:numPr>
        <w:spacing w:after="80" w:line="300"/>
        <w:ind w:left="400"/>
      </w:pPr>
      <w:r>
        <w:rPr>
          <w:rFonts w:ascii="Calibri" w:cs="Calibri" w:eastAsia="Calibri" w:hAnsi="Calibri"/>
          <w:color w:val="1F2937"/>
          <w:sz w:val="22"/>
          <w:szCs w:val="22"/>
        </w:rPr>
        <w:t xml:space="preserve">Forget Gate (f_t): Controls what information from the previous cell state to discard</w:t>
      </w:r>
    </w:p>
    <w:p>
      <w:pPr>
        <w:pStyle w:val="ListParagraph"/>
        <w:numPr>
          <w:ilvl w:val="0"/>
          <w:numId w:val="1"/>
        </w:numPr>
        <w:spacing w:after="80" w:line="300"/>
        <w:ind w:left="400"/>
      </w:pPr>
      <w:r>
        <w:rPr>
          <w:rFonts w:ascii="Calibri" w:cs="Calibri" w:eastAsia="Calibri" w:hAnsi="Calibri"/>
          <w:color w:val="1F2937"/>
          <w:sz w:val="22"/>
          <w:szCs w:val="22"/>
        </w:rPr>
        <w:t xml:space="preserve">Input Gate (i_t): Controls what new information to store in the cell state</w:t>
      </w:r>
    </w:p>
    <w:p>
      <w:pPr>
        <w:pStyle w:val="ListParagraph"/>
        <w:numPr>
          <w:ilvl w:val="0"/>
          <w:numId w:val="1"/>
        </w:numPr>
        <w:spacing w:after="80" w:line="300"/>
        <w:ind w:left="400"/>
      </w:pPr>
      <w:r>
        <w:rPr>
          <w:rFonts w:ascii="Calibri" w:cs="Calibri" w:eastAsia="Calibri" w:hAnsi="Calibri"/>
          <w:color w:val="1F2937"/>
          <w:sz w:val="22"/>
          <w:szCs w:val="22"/>
        </w:rPr>
        <w:t xml:space="preserve">Output Gate (o_t): Controls what part of the cell state to output as hidden state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227" w:sz="4"/>
              <w:left w:val="single" w:color="C9A227" w:sz="12"/>
              <w:bottom w:val="single" w:color="C9A227" w:sz="4"/>
              <w:right w:val="none"/>
            </w:tcBorders>
            <w:shd w:fill="0A1628" w:val="solid"/>
            <w:tcMar>
              <w:top w:type="dxa" w:w="160"/>
              <w:left w:type="dxa" w:w="300"/>
              <w:bottom w:type="dxa" w:w="160"/>
              <w:right w:type="dxa" w:w="300"/>
            </w:tcMar>
          </w:tcPr>
          <w:p>
            <w:pPr>
              <w:spacing w:after="60"/>
            </w:pPr>
            <w:r>
              <w:rPr>
                <w:rFonts w:ascii="Courier New" w:cs="Courier New" w:eastAsia="Courier New" w:hAnsi="Courier New"/>
                <w:color w:val="E8C547"/>
                <w:sz w:val="20"/>
                <w:szCs w:val="20"/>
              </w:rPr>
              <w:t xml:space="preserve">LSTM Gate Equations:</w:t>
            </w:r>
          </w:p>
          <w:p>
            <w:pPr>
              <w:spacing w:after="60"/>
            </w:pPr>
            <w:r>
              <w:rPr>
                <w:rFonts w:ascii="Courier New" w:cs="Courier New" w:eastAsia="Courier New" w:hAnsi="Courier New"/>
                <w:color w:val="E8C547"/>
                <w:sz w:val="20"/>
                <w:szCs w:val="20"/>
              </w:rPr>
              <w:t xml:space="preserve">f_t = σ(W_f·[h_{t-1}, x_t] + b_f)          ← Forget Gate</w:t>
            </w:r>
          </w:p>
          <w:p>
            <w:pPr>
              <w:spacing w:after="60"/>
            </w:pPr>
            <w:r>
              <w:rPr>
                <w:rFonts w:ascii="Courier New" w:cs="Courier New" w:eastAsia="Courier New" w:hAnsi="Courier New"/>
                <w:color w:val="E8C547"/>
                <w:sz w:val="20"/>
                <w:szCs w:val="20"/>
              </w:rPr>
              <w:t xml:space="preserve">i_t = σ(W_i·[h_{t-1}, x_t] + b_i)          ← Input Gate</w:t>
            </w:r>
          </w:p>
          <w:p>
            <w:pPr>
              <w:spacing w:after="60"/>
            </w:pPr>
            <w:r>
              <w:rPr>
                <w:rFonts w:ascii="Courier New" w:cs="Courier New" w:eastAsia="Courier New" w:hAnsi="Courier New"/>
                <w:color w:val="E8C547"/>
                <w:sz w:val="20"/>
                <w:szCs w:val="20"/>
              </w:rPr>
              <w:t xml:space="preserve">C̃_t = tanh(W_C·[h_{t-1}, x_t] + b_C)       ← Candidate Cell State</w:t>
            </w:r>
          </w:p>
          <w:p>
            <w:pPr>
              <w:spacing w:after="60"/>
            </w:pPr>
            <w:r>
              <w:rPr>
                <w:rFonts w:ascii="Courier New" w:cs="Courier New" w:eastAsia="Courier New" w:hAnsi="Courier New"/>
                <w:color w:val="E8C547"/>
                <w:sz w:val="20"/>
                <w:szCs w:val="20"/>
              </w:rPr>
              <w:t xml:space="preserve">C_t = f_t ⊙ C_{t-1} + i_t ⊙ C̃_t           ← Cell State Update</w:t>
            </w:r>
          </w:p>
          <w:p>
            <w:pPr>
              <w:spacing w:after="60"/>
            </w:pPr>
            <w:r>
              <w:rPr>
                <w:rFonts w:ascii="Courier New" w:cs="Courier New" w:eastAsia="Courier New" w:hAnsi="Courier New"/>
                <w:color w:val="E8C547"/>
                <w:sz w:val="20"/>
                <w:szCs w:val="20"/>
              </w:rPr>
              <w:t xml:space="preserve">o_t = σ(W_o·[h_{t-1}, x_t] + b_o)          ← Output Gate</w:t>
            </w:r>
          </w:p>
          <w:p>
            <w:pPr>
              <w:spacing w:after="60"/>
            </w:pPr>
            <w:r>
              <w:rPr>
                <w:rFonts w:ascii="Courier New" w:cs="Courier New" w:eastAsia="Courier New" w:hAnsi="Courier New"/>
                <w:color w:val="E8C547"/>
                <w:sz w:val="20"/>
                <w:szCs w:val="20"/>
              </w:rPr>
              <w:t xml:space="preserve">h_t = o_t ⊙ tanh(C_t)                       ← Hidden State Output</w:t>
            </w:r>
          </w:p>
        </w:tc>
      </w:tr>
    </w:tbl>
    <w:p>
      <w:pPr>
        <w:spacing w:after="80"/>
      </w:pPr>
      <w:r>
        <w:t xml:space="preserve"/>
      </w:r>
    </w:p>
    <w:p>
      <w:pPr>
        <w:pStyle w:val="Heading3"/>
        <w:spacing w:after="80" w:before="200"/>
      </w:pPr>
      <w:r>
        <w:t xml:space="preserve">7.2.2  LSTM Network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86"/>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Layer</w:t>
            </w:r>
          </w:p>
        </w:tc>
        <w:tc>
          <w:tcPr>
            <w:tcW w:type="dxa" w:w="171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Type</w:t>
            </w:r>
          </w:p>
        </w:tc>
        <w:tc>
          <w:tcPr>
            <w:tcW w:type="dxa" w:w="2571"/>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Units / Config</w:t>
            </w:r>
          </w:p>
        </w:tc>
        <w:tc>
          <w:tcPr>
            <w:tcW w:type="dxa" w:w="171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Output Shape</w:t>
            </w:r>
          </w:p>
        </w:tc>
        <w:tc>
          <w:tcPr>
            <w:tcW w:type="dxa" w:w="171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Parameters</w:t>
            </w:r>
          </w:p>
        </w:tc>
      </w:tr>
      <w:tr>
        <w:tc>
          <w:tcPr>
            <w:tcW w:type="dxa" w:w="128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Input</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Input Layer</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Sequence: 60 days × 8 features</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60, 8)</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r>
      <w:tr>
        <w:tc>
          <w:tcPr>
            <w:tcW w:type="dxa" w:w="128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L1</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LSTM</w:t>
            </w:r>
          </w:p>
        </w:tc>
        <w:tc>
          <w:tcPr>
            <w:tcW w:type="dxa" w:w="257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128 units, return_sequences=True</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60, 128)</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70,144</w:t>
            </w:r>
          </w:p>
        </w:tc>
      </w:tr>
      <w:tr>
        <w:tc>
          <w:tcPr>
            <w:tcW w:type="dxa" w:w="128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D1</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Dropout</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rate = 0.20</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60, 128)</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r>
      <w:tr>
        <w:tc>
          <w:tcPr>
            <w:tcW w:type="dxa" w:w="128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L2</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LSTM</w:t>
            </w:r>
          </w:p>
        </w:tc>
        <w:tc>
          <w:tcPr>
            <w:tcW w:type="dxa" w:w="257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64 units, return_sequences=False</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64)</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49,408</w:t>
            </w:r>
          </w:p>
        </w:tc>
      </w:tr>
      <w:tr>
        <w:tc>
          <w:tcPr>
            <w:tcW w:type="dxa" w:w="128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D2</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Dropout</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rate = 0.20</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64)</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r>
      <w:tr>
        <w:tc>
          <w:tcPr>
            <w:tcW w:type="dxa" w:w="128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Dense-1</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Dense</w:t>
            </w:r>
          </w:p>
        </w:tc>
        <w:tc>
          <w:tcPr>
            <w:tcW w:type="dxa" w:w="257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32 units, activation = ReLU</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32)</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2,080</w:t>
            </w:r>
          </w:p>
        </w:tc>
      </w:tr>
      <w:tr>
        <w:tc>
          <w:tcPr>
            <w:tcW w:type="dxa" w:w="128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Output</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Dense</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 unit (linear)</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1)</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33</w:t>
            </w:r>
          </w:p>
        </w:tc>
      </w:tr>
      <w:tr>
        <w:tc>
          <w:tcPr>
            <w:tcW w:type="dxa" w:w="128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sz w:val="20"/>
                <w:szCs w:val="20"/>
              </w:rPr>
              <w:t xml:space="preserve">Total Trainable Parameters</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257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121,665</w:t>
            </w:r>
          </w:p>
        </w:tc>
      </w:tr>
    </w:tbl>
    <w:p>
      <w:pPr>
        <w:spacing w:after="80"/>
      </w:pPr>
      <w:r>
        <w:t xml:space="preserve"/>
      </w:r>
    </w:p>
    <w:p>
      <w:pPr>
        <w:pStyle w:val="Heading3"/>
        <w:spacing w:after="80" w:before="200"/>
      </w:pPr>
      <w:r>
        <w:t xml:space="preserve">7.2.3  Training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42"/>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Hyperparameter</w:t>
            </w:r>
          </w:p>
        </w:tc>
        <w:tc>
          <w:tcPr>
            <w:tcW w:type="dxa" w:w="2368"/>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Value</w:t>
            </w:r>
          </w:p>
        </w:tc>
        <w:tc>
          <w:tcPr>
            <w:tcW w:type="dxa" w:w="3789"/>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Rationale</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Sequence Length</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60 days</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 months of trading history as context</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Batch Size</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32</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Balance between gradient noise and memory</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Optimizer</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Adam (lr=0.001)</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Adaptive learning rate — standard for LSTM</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Loss Function</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Mean Squared Error</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Regression objective</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Epochs</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50 (+ early stop)</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Max 50, stop if val_loss does not improve</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Early Stopping</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Patience = 10</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Prevent overfitting — restore best weights</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LR Scheduler</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ReduceLROnPlateau</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Halve LR if val_loss stagnates for 5 epochs</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Batch Normalisation</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After L1, L2</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Stabilise training, reduce internal covariate shift</w:t>
            </w:r>
          </w:p>
        </w:tc>
      </w:tr>
    </w:tbl>
    <w:p>
      <w:pPr>
        <w:spacing w:after="80"/>
      </w:pPr>
      <w:r>
        <w:t xml:space="preserve"/>
      </w:r>
    </w:p>
    <w:p>
      <w:pPr>
        <w:pStyle w:val="Heading3"/>
        <w:spacing w:after="80" w:before="200"/>
      </w:pPr>
      <w:r>
        <w:t xml:space="preserve">7.2.4  LSTM Performance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Metric</w:t>
            </w:r>
          </w:p>
        </w:tc>
        <w:tc>
          <w:tcPr>
            <w:tcW w:type="dxa" w:w="171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Training Set</w:t>
            </w:r>
          </w:p>
        </w:tc>
        <w:tc>
          <w:tcPr>
            <w:tcW w:type="dxa" w:w="1714"/>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Test Set</w:t>
            </w:r>
          </w:p>
        </w:tc>
        <w:tc>
          <w:tcPr>
            <w:tcW w:type="dxa" w:w="2571"/>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Benchmark (predict mean)</w:t>
            </w:r>
          </w:p>
        </w:tc>
      </w:tr>
      <w:tr>
        <w:tc>
          <w:tcPr>
            <w:tcW w:type="dxa" w:w="30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R² Score</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0.09</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−0.18</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0.00</w:t>
            </w:r>
          </w:p>
        </w:tc>
      </w:tr>
      <w:tr>
        <w:tc>
          <w:tcPr>
            <w:tcW w:type="dxa" w:w="30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RMSE</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0.0341</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0.0522</w:t>
            </w:r>
          </w:p>
        </w:tc>
        <w:tc>
          <w:tcPr>
            <w:tcW w:type="dxa" w:w="257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0.0408</w:t>
            </w:r>
          </w:p>
        </w:tc>
      </w:tr>
      <w:tr>
        <w:tc>
          <w:tcPr>
            <w:tcW w:type="dxa" w:w="30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MAE</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0.0256</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0.0391</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0.0318</w:t>
            </w:r>
          </w:p>
        </w:tc>
      </w:tr>
      <w:tr>
        <w:tc>
          <w:tcPr>
            <w:tcW w:type="dxa" w:w="30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Directional Acc</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54%</w:t>
            </w:r>
          </w:p>
        </w:tc>
        <w:tc>
          <w:tcPr>
            <w:tcW w:type="dxa" w:w="1714"/>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41%</w:t>
            </w:r>
          </w:p>
        </w:tc>
        <w:tc>
          <w:tcPr>
            <w:tcW w:type="dxa" w:w="2571"/>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50%</w:t>
            </w:r>
          </w:p>
        </w:tc>
      </w:tr>
      <w:tr>
        <w:tc>
          <w:tcPr>
            <w:tcW w:type="dxa" w:w="30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Loss at Epoch 50</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0.00116</w:t>
            </w:r>
          </w:p>
        </w:tc>
        <w:tc>
          <w:tcPr>
            <w:tcW w:type="dxa" w:w="1714"/>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0.00273 (diverging)</w:t>
            </w:r>
          </w:p>
        </w:tc>
        <w:tc>
          <w:tcPr>
            <w:tcW w:type="dxa" w:w="2571"/>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991B1B" w:val="solid"/>
          </w:tcPr>
          <w:p>
            <w:r>
              <w:t xml:space="preserve"/>
            </w:r>
          </w:p>
        </w:tc>
        <w:tc>
          <w:tcPr>
            <w:tcW w:type="pct" w:w="98%"/>
            <w:tcBorders>
              <w:top w:val="none"/>
              <w:left w:val="none"/>
              <w:bottom w:val="none"/>
              <w:right w:val="none"/>
            </w:tcBorders>
            <w:shd w:fill="FEF2F2" w:val="solid"/>
            <w:tcMar>
              <w:top w:type="dxa" w:w="120"/>
              <w:left w:type="dxa" w:w="200"/>
              <w:bottom w:type="dxa" w:w="120"/>
              <w:right w:type="dxa" w:w="200"/>
            </w:tcMar>
          </w:tcPr>
          <w:p>
            <w:pPr>
              <w:spacing w:after="60"/>
            </w:pPr>
            <w:r>
              <w:rPr>
                <w:rFonts w:ascii="Calibri" w:cs="Calibri" w:eastAsia="Calibri" w:hAnsi="Calibri"/>
                <w:b/>
                <w:bCs/>
                <w:color w:val="991B1B"/>
                <w:sz w:val="20"/>
                <w:szCs w:val="20"/>
              </w:rPr>
              <w:t xml:space="preserve">🔴  Critical Finding — LSTM Failure Analysis</w:t>
            </w:r>
          </w:p>
          <w:p>
            <w:pPr>
              <w:spacing w:after="0"/>
              <w:jc w:val="both"/>
            </w:pPr>
            <w:r>
              <w:rPr>
                <w:rFonts w:ascii="Calibri" w:cs="Calibri" w:eastAsia="Calibri" w:hAnsi="Calibri"/>
                <w:color w:val="374151"/>
                <w:sz w:val="21"/>
                <w:szCs w:val="21"/>
              </w:rPr>
              <w:t xml:space="preserve">A negative R² of −0.18 on the test set indicates that the LSTM performed WORSE than simply predicting the mean return (zero) for every day. The validation loss diverged from training loss after approximately 15 epochs, indicating that the model was memorising training patterns that do not generalise to unseen data. Predictions clustered near zero, failing to capture any meaningful volatility in the actual return series.</w:t>
            </w:r>
          </w:p>
        </w:tc>
      </w:tr>
    </w:tbl>
    <w:p>
      <w:pPr>
        <w:spacing w:after="80"/>
      </w:pPr>
      <w:r>
        <w:t xml:space="preserve"/>
      </w:r>
    </w:p>
    <w:p>
      <w:pPr>
        <w:pStyle w:val="Heading2"/>
        <w:pBdr>
          <w:left w:val="single" w:color="C9A227" w:sz="20"/>
        </w:pBdr>
        <w:spacing w:after="100" w:before="320"/>
        <w:ind w:left="200"/>
      </w:pPr>
      <w:r>
        <w:t xml:space="preserve">7.3  GRU — Gated Recurrent Unit</w:t>
      </w:r>
    </w:p>
    <w:p>
      <w:pPr>
        <w:pStyle w:val="Heading3"/>
        <w:spacing w:after="80" w:before="200"/>
      </w:pPr>
      <w:r>
        <w:t xml:space="preserve">7.3.1  GRU vs LSTM — Architecture Comparison</w:t>
      </w:r>
    </w:p>
    <w:p>
      <w:pPr>
        <w:spacing w:after="120" w:line="340"/>
        <w:jc w:val="both"/>
      </w:pPr>
      <w:r>
        <w:rPr>
          <w:rFonts w:ascii="Calibri" w:cs="Calibri" w:eastAsia="Calibri" w:hAnsi="Calibri"/>
          <w:b w:val="false"/>
          <w:bCs w:val="false"/>
          <w:i w:val="false"/>
          <w:iCs w:val="false"/>
          <w:color w:val="1F2937"/>
          <w:sz w:val="22"/>
          <w:szCs w:val="22"/>
        </w:rPr>
        <w:t xml:space="preserve">The Gated Recurrent Unit (GRU) simplifies the LSTM architecture by merging the Forget and Input gates into a single Update Gate, and combining the Cell State and Hidden State. This reduces the parameter count and often trains faster, making it suitable for smaller datasets.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227" w:sz="4"/>
              <w:left w:val="single" w:color="C9A227" w:sz="12"/>
              <w:bottom w:val="single" w:color="C9A227" w:sz="4"/>
              <w:right w:val="none"/>
            </w:tcBorders>
            <w:shd w:fill="0A1628" w:val="solid"/>
            <w:tcMar>
              <w:top w:type="dxa" w:w="160"/>
              <w:left w:type="dxa" w:w="300"/>
              <w:bottom w:type="dxa" w:w="160"/>
              <w:right w:type="dxa" w:w="300"/>
            </w:tcMar>
          </w:tcPr>
          <w:p>
            <w:pPr>
              <w:spacing w:after="60"/>
            </w:pPr>
            <w:r>
              <w:rPr>
                <w:rFonts w:ascii="Courier New" w:cs="Courier New" w:eastAsia="Courier New" w:hAnsi="Courier New"/>
                <w:color w:val="E8C547"/>
                <w:sz w:val="20"/>
                <w:szCs w:val="20"/>
              </w:rPr>
              <w:t xml:space="preserve">GRU Gate Equations:</w:t>
            </w:r>
          </w:p>
          <w:p>
            <w:pPr>
              <w:spacing w:after="60"/>
            </w:pPr>
            <w:r>
              <w:rPr>
                <w:rFonts w:ascii="Courier New" w:cs="Courier New" w:eastAsia="Courier New" w:hAnsi="Courier New"/>
                <w:color w:val="E8C547"/>
                <w:sz w:val="20"/>
                <w:szCs w:val="20"/>
              </w:rPr>
              <w:t xml:space="preserve">z_t = σ(W_z·[h_{t-1}, x_t] + b_z)          ← Update Gate</w:t>
            </w:r>
          </w:p>
          <w:p>
            <w:pPr>
              <w:spacing w:after="60"/>
            </w:pPr>
            <w:r>
              <w:rPr>
                <w:rFonts w:ascii="Courier New" w:cs="Courier New" w:eastAsia="Courier New" w:hAnsi="Courier New"/>
                <w:color w:val="E8C547"/>
                <w:sz w:val="20"/>
                <w:szCs w:val="20"/>
              </w:rPr>
              <w:t xml:space="preserve">r_t = σ(W_r·[h_{t-1}, x_t] + b_r)          ← Reset Gate</w:t>
            </w:r>
          </w:p>
          <w:p>
            <w:pPr>
              <w:spacing w:after="60"/>
            </w:pPr>
            <w:r>
              <w:rPr>
                <w:rFonts w:ascii="Courier New" w:cs="Courier New" w:eastAsia="Courier New" w:hAnsi="Courier New"/>
                <w:color w:val="E8C547"/>
                <w:sz w:val="20"/>
                <w:szCs w:val="20"/>
              </w:rPr>
              <w:t xml:space="preserve">h̃_t = tanh(W·[r_t ⊙ h_{t-1}, x_t] + b)    ← Candidate State</w:t>
            </w:r>
          </w:p>
          <w:p>
            <w:pPr>
              <w:spacing w:after="60"/>
            </w:pPr>
            <w:r>
              <w:rPr>
                <w:rFonts w:ascii="Courier New" w:cs="Courier New" w:eastAsia="Courier New" w:hAnsi="Courier New"/>
                <w:color w:val="E8C547"/>
                <w:sz w:val="20"/>
                <w:szCs w:val="20"/>
              </w:rPr>
              <w:t xml:space="preserve">h_t = (1-z_t) ⊙ h_{t-1} + z_t ⊙ h̃_t       ← Final Hidden State</w:t>
            </w:r>
          </w:p>
          <w:p>
            <w:pPr>
              <w:spacing w:after="60"/>
            </w:pPr>
            <w:r>
              <w:rPr>
                <w:rFonts w:ascii="Courier New" w:cs="Courier New" w:eastAsia="Courier New" w:hAnsi="Courier New"/>
                <w:color w:val="E8C547"/>
                <w:sz w:val="20"/>
                <w:szCs w:val="20"/>
              </w:rPr>
              <w:t xml:space="preserve"/>
            </w:r>
          </w:p>
          <w:p>
            <w:pPr>
              <w:spacing w:after="60"/>
            </w:pPr>
            <w:r>
              <w:rPr>
                <w:rFonts w:ascii="Courier New" w:cs="Courier New" w:eastAsia="Courier New" w:hAnsi="Courier New"/>
                <w:color w:val="E8C547"/>
                <w:sz w:val="20"/>
                <w:szCs w:val="20"/>
              </w:rPr>
              <w:t xml:space="preserve">Key Advantage: Fewer parameters → Less overfitting risk on small datasets</w:t>
            </w:r>
          </w:p>
        </w:tc>
      </w:tr>
    </w:tbl>
    <w:p>
      <w:pPr>
        <w:spacing w:after="80"/>
      </w:pPr>
      <w:r>
        <w:t xml:space="preserve"/>
      </w:r>
    </w:p>
    <w:p>
      <w:pPr>
        <w:pStyle w:val="Heading3"/>
        <w:spacing w:after="80" w:before="200"/>
      </w:pPr>
      <w:r>
        <w:t xml:space="preserve">7.3.2  GRU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50"/>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Layer</w:t>
            </w:r>
          </w:p>
        </w:tc>
        <w:tc>
          <w:tcPr>
            <w:tcW w:type="dxa" w:w="18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Type</w:t>
            </w:r>
          </w:p>
        </w:tc>
        <w:tc>
          <w:tcPr>
            <w:tcW w:type="dxa" w:w="225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Units</w:t>
            </w:r>
          </w:p>
        </w:tc>
        <w:tc>
          <w:tcPr>
            <w:tcW w:type="dxa" w:w="18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Output Shape</w:t>
            </w:r>
          </w:p>
        </w:tc>
        <w:tc>
          <w:tcPr>
            <w:tcW w:type="dxa" w:w="18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Parameters</w:t>
            </w:r>
          </w:p>
        </w:tc>
      </w:tr>
      <w:tr>
        <w:tc>
          <w:tcPr>
            <w:tcW w:type="dxa" w:w="13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Input</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Input</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Seq: 60×8</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60, 8)</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r>
      <w:tr>
        <w:tc>
          <w:tcPr>
            <w:tcW w:type="dxa" w:w="13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G1</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GRU</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128, return_seq=True</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60, 128)</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52,992</w:t>
            </w:r>
          </w:p>
        </w:tc>
      </w:tr>
      <w:tr>
        <w:tc>
          <w:tcPr>
            <w:tcW w:type="dxa" w:w="13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D1</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Dropout</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rate=0.20</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60, 128)</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r>
      <w:tr>
        <w:tc>
          <w:tcPr>
            <w:tcW w:type="dxa" w:w="13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G2</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GRU</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64, return_seq=False</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64)</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37,248</w:t>
            </w:r>
          </w:p>
        </w:tc>
      </w:tr>
      <w:tr>
        <w:tc>
          <w:tcPr>
            <w:tcW w:type="dxa" w:w="13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D2</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Dropout</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rate=0.20</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64)</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r>
      <w:tr>
        <w:tc>
          <w:tcPr>
            <w:tcW w:type="dxa" w:w="13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Dense</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Dense</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32, ReLU</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32)</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2,080</w:t>
            </w:r>
          </w:p>
        </w:tc>
      </w:tr>
      <w:tr>
        <w:tc>
          <w:tcPr>
            <w:tcW w:type="dxa" w:w="13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Output</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Dense</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 linear</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(None, 1)</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33</w:t>
            </w:r>
          </w:p>
        </w:tc>
      </w:tr>
      <w:tr>
        <w:tc>
          <w:tcPr>
            <w:tcW w:type="dxa" w:w="13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sz w:val="20"/>
                <w:szCs w:val="20"/>
              </w:rPr>
              <w:t xml:space="preserve">Total Parameters</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92,353</w:t>
            </w:r>
          </w:p>
        </w:tc>
      </w:tr>
    </w:tbl>
    <w:p>
      <w:pPr>
        <w:spacing w:after="80"/>
      </w:pPr>
      <w:r>
        <w:t xml:space="preserve"/>
      </w:r>
    </w:p>
    <w:p>
      <w:pPr>
        <w:pStyle w:val="Heading3"/>
        <w:spacing w:after="80" w:before="200"/>
      </w:pPr>
      <w:r>
        <w:t xml:space="preserve">7.3.3  GRU Performance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42"/>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Metric</w:t>
            </w:r>
          </w:p>
        </w:tc>
        <w:tc>
          <w:tcPr>
            <w:tcW w:type="dxa" w:w="189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Training Set</w:t>
            </w:r>
          </w:p>
        </w:tc>
        <w:tc>
          <w:tcPr>
            <w:tcW w:type="dxa" w:w="189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Test Set</w:t>
            </w:r>
          </w:p>
        </w:tc>
        <w:tc>
          <w:tcPr>
            <w:tcW w:type="dxa" w:w="2368"/>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vs LSTM</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R² Score</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0.11</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−0.12</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Slightly better</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RMSE</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0.0329</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0.0498</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Marginally better</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Directional Acc</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55%</w:t>
            </w:r>
          </w:p>
        </w:tc>
        <w:tc>
          <w:tcPr>
            <w:tcW w:type="dxa" w:w="189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991B1B"/>
                <w:sz w:val="20"/>
                <w:szCs w:val="20"/>
              </w:rPr>
              <w:t xml:space="preserve">45%</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 vs LSTM</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Training Time</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~22 min</w:t>
            </w:r>
          </w:p>
        </w:tc>
        <w:tc>
          <w:tcPr>
            <w:tcW w:type="dxa" w:w="189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~30% faster than LSTM</w:t>
            </w:r>
          </w:p>
        </w:tc>
      </w:tr>
    </w:tbl>
    <w:p>
      <w:pPr>
        <w:spacing w:after="80"/>
      </w:pPr>
      <w:r>
        <w:t xml:space="preserve"/>
      </w:r>
    </w:p>
    <w:p>
      <w:pPr>
        <w:pStyle w:val="Heading2"/>
        <w:pBdr>
          <w:left w:val="single" w:color="C9A227" w:sz="20"/>
        </w:pBdr>
        <w:spacing w:after="100" w:before="320"/>
        <w:ind w:left="200"/>
      </w:pPr>
      <w:r>
        <w:t xml:space="preserve">7.4  Why Deep Learning Underperformed — Analysis</w:t>
      </w:r>
    </w:p>
    <w:p>
      <w:pPr>
        <w:spacing w:after="120" w:line="340"/>
        <w:jc w:val="both"/>
      </w:pPr>
      <w:r>
        <w:rPr>
          <w:rFonts w:ascii="Calibri" w:cs="Calibri" w:eastAsia="Calibri" w:hAnsi="Calibri"/>
          <w:b w:val="false"/>
          <w:bCs w:val="false"/>
          <w:i w:val="false"/>
          <w:iCs w:val="false"/>
          <w:color w:val="1F2937"/>
          <w:sz w:val="22"/>
          <w:szCs w:val="22"/>
        </w:rPr>
        <w:t xml:space="preserve">The failure of LSTM and GRU models is an important and honest finding that deserves thorough analysis:</w:t>
      </w:r>
    </w:p>
    <w:p>
      <w:pPr>
        <w:spacing w:after="100" w:line="320"/>
        <w:ind w:left="400"/>
      </w:pPr>
      <w:r>
        <w:rPr>
          <w:rFonts w:ascii="Calibri" w:cs="Calibri" w:eastAsia="Calibri" w:hAnsi="Calibri"/>
          <w:b/>
          <w:bCs/>
          <w:color w:val="132048"/>
          <w:sz w:val="22"/>
          <w:szCs w:val="22"/>
        </w:rPr>
        <w:t xml:space="preserve">1.  </w:t>
      </w:r>
      <w:r>
        <w:rPr>
          <w:rFonts w:ascii="Calibri" w:cs="Calibri" w:eastAsia="Calibri" w:hAnsi="Calibri"/>
          <w:color w:val="1F2937"/>
          <w:sz w:val="22"/>
          <w:szCs w:val="22"/>
        </w:rPr>
        <w:t xml:space="preserve">Efficient Market Hypothesis (EMH): Daily returns of liquid assets like Bitcoin, Gold, and S&amp;P 500 are approximately a martingale process. Past returns contain minimal information about future returns — the very information that sequential models are designed to exploit.</w:t>
      </w:r>
    </w:p>
    <w:p>
      <w:pPr>
        <w:spacing w:after="100" w:line="320"/>
        <w:ind w:left="400"/>
      </w:pPr>
      <w:r>
        <w:rPr>
          <w:rFonts w:ascii="Calibri" w:cs="Calibri" w:eastAsia="Calibri" w:hAnsi="Calibri"/>
          <w:b/>
          <w:bCs/>
          <w:color w:val="132048"/>
          <w:sz w:val="22"/>
          <w:szCs w:val="22"/>
        </w:rPr>
        <w:t xml:space="preserve">2.  </w:t>
      </w:r>
      <w:r>
        <w:rPr>
          <w:rFonts w:ascii="Calibri" w:cs="Calibri" w:eastAsia="Calibri" w:hAnsi="Calibri"/>
          <w:color w:val="1F2937"/>
          <w:sz w:val="22"/>
          <w:szCs w:val="22"/>
        </w:rPr>
        <w:t xml:space="preserve">Signal-to-Noise Ratio: Financial time series have an extremely low signal-to-noise ratio. LSTM models have millions of parameters that are optimised to fit noise rather than genuine patterns, especially when the training dataset is limited to ~2,800 observations.</w:t>
      </w:r>
    </w:p>
    <w:p>
      <w:pPr>
        <w:spacing w:after="100" w:line="320"/>
        <w:ind w:left="400"/>
      </w:pPr>
      <w:r>
        <w:rPr>
          <w:rFonts w:ascii="Calibri" w:cs="Calibri" w:eastAsia="Calibri" w:hAnsi="Calibri"/>
          <w:b/>
          <w:bCs/>
          <w:color w:val="132048"/>
          <w:sz w:val="22"/>
          <w:szCs w:val="22"/>
        </w:rPr>
        <w:t xml:space="preserve">3.  </w:t>
      </w:r>
      <w:r>
        <w:rPr>
          <w:rFonts w:ascii="Calibri" w:cs="Calibri" w:eastAsia="Calibri" w:hAnsi="Calibri"/>
          <w:color w:val="1F2937"/>
          <w:sz w:val="22"/>
          <w:szCs w:val="22"/>
        </w:rPr>
        <w:t xml:space="preserve">Non-stationarity: Financial regimes shift dramatically (e.g., pre-COVID vs. post-COVID). An LSTM trained on one regime may not generalise to another.</w:t>
      </w:r>
    </w:p>
    <w:p>
      <w:pPr>
        <w:spacing w:after="100" w:line="320"/>
        <w:ind w:left="400"/>
      </w:pPr>
      <w:r>
        <w:rPr>
          <w:rFonts w:ascii="Calibri" w:cs="Calibri" w:eastAsia="Calibri" w:hAnsi="Calibri"/>
          <w:b/>
          <w:bCs/>
          <w:color w:val="132048"/>
          <w:sz w:val="22"/>
          <w:szCs w:val="22"/>
        </w:rPr>
        <w:t xml:space="preserve">4.  </w:t>
      </w:r>
      <w:r>
        <w:rPr>
          <w:rFonts w:ascii="Calibri" w:cs="Calibri" w:eastAsia="Calibri" w:hAnsi="Calibri"/>
          <w:color w:val="1F2937"/>
          <w:sz w:val="22"/>
          <w:szCs w:val="22"/>
        </w:rPr>
        <w:t xml:space="preserve">Overfitting: Despite dropout and early stopping, the gap between train accuracy (54%) and test accuracy (41%) confirms overfitting. The model memorises training patterns that do not transfer.</w:t>
      </w:r>
    </w:p>
    <w:p>
      <w:pPr>
        <w:spacing w:after="100" w:line="320"/>
        <w:ind w:left="400"/>
      </w:pPr>
      <w:r>
        <w:rPr>
          <w:rFonts w:ascii="Calibri" w:cs="Calibri" w:eastAsia="Calibri" w:hAnsi="Calibri"/>
          <w:b/>
          <w:bCs/>
          <w:color w:val="132048"/>
          <w:sz w:val="22"/>
          <w:szCs w:val="22"/>
        </w:rPr>
        <w:t xml:space="preserve">5.  </w:t>
      </w:r>
      <w:r>
        <w:rPr>
          <w:rFonts w:ascii="Calibri" w:cs="Calibri" w:eastAsia="Calibri" w:hAnsi="Calibri"/>
          <w:color w:val="1F2937"/>
          <w:sz w:val="22"/>
          <w:szCs w:val="22"/>
        </w:rPr>
        <w:t xml:space="preserve">Feature Autocorrelation: Daily returns show very little autocorrelation (typically &lt; 0.05 for most lags). Sequential models gain no advantage when there is no meaningful temporal dependency to model.</w:t>
      </w:r>
    </w:p>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C9A227" w:val="solid"/>
          </w:tcPr>
          <w:p>
            <w:r>
              <w:t xml:space="preserve"/>
            </w:r>
          </w:p>
        </w:tc>
        <w:tc>
          <w:tcPr>
            <w:tcW w:type="pct" w:w="98%"/>
            <w:tcBorders>
              <w:top w:val="none"/>
              <w:left w:val="none"/>
              <w:bottom w:val="none"/>
              <w:right w:val="none"/>
            </w:tcBorders>
            <w:shd w:fill="FFFBEB" w:val="solid"/>
            <w:tcMar>
              <w:top w:type="dxa" w:w="120"/>
              <w:left w:type="dxa" w:w="200"/>
              <w:bottom w:type="dxa" w:w="120"/>
              <w:right w:type="dxa" w:w="200"/>
            </w:tcMar>
          </w:tcPr>
          <w:p>
            <w:pPr>
              <w:spacing w:after="60"/>
            </w:pPr>
            <w:r>
              <w:rPr>
                <w:rFonts w:ascii="Calibri" w:cs="Calibri" w:eastAsia="Calibri" w:hAnsi="Calibri"/>
                <w:b/>
                <w:bCs/>
                <w:color w:val="C9A227"/>
                <w:sz w:val="20"/>
                <w:szCs w:val="20"/>
              </w:rPr>
              <w:t xml:space="preserve">📚  Academic Context</w:t>
            </w:r>
          </w:p>
          <w:p>
            <w:pPr>
              <w:spacing w:after="0"/>
              <w:jc w:val="both"/>
            </w:pPr>
            <w:r>
              <w:rPr>
                <w:rFonts w:ascii="Calibri" w:cs="Calibri" w:eastAsia="Calibri" w:hAnsi="Calibri"/>
                <w:color w:val="374151"/>
                <w:sz w:val="21"/>
                <w:szCs w:val="21"/>
              </w:rPr>
              <w:t xml:space="preserve">The finding that classical ML outperforms deep learning for daily return prediction is consistent with the broader academic literature. Fischer &amp; Krauss (2018) found LSTM outperforms on 500-stock datasets with mean-reversion opportunities. However, for single-asset daily returns in a near-efficient market, the advantage disappears. Our result strengthens this finding.</w:t>
            </w:r>
          </w:p>
        </w:tc>
      </w:tr>
    </w:tbl>
    <w:p>
      <w:pPr>
        <w:spacing w:after="80"/>
      </w:pPr>
      <w:r>
        <w:t xml:space="preserve"/>
      </w:r>
    </w:p>
    <w:p>
      <w:r>
        <w:br w:type="page"/>
      </w:r>
    </w:p>
    <w:p>
      <w:pPr>
        <w:pBdr>
          <w:bottom w:val="single" w:color="C9A227" w:sz="12"/>
        </w:pBdr>
        <w:shd w:fill="132048" w:val="solid"/>
        <w:spacing w:after="200" w:before="200"/>
        <w:jc w:val="left"/>
      </w:pPr>
      <w:r>
        <w:rPr>
          <w:rFonts w:ascii="Calibri" w:cs="Calibri" w:eastAsia="Calibri" w:hAnsi="Calibri"/>
          <w:b/>
          <w:bCs/>
          <w:color w:val="FFFFFF"/>
          <w:sz w:val="36"/>
          <w:szCs w:val="36"/>
        </w:rPr>
        <w:t xml:space="preserve">Chapter 8: Soft Computing</w:t>
      </w:r>
    </w:p>
    <w:p>
      <w:pPr>
        <w:spacing w:after="80"/>
      </w:pPr>
      <w:r>
        <w:t xml:space="preserve"/>
      </w:r>
    </w:p>
    <w:p>
      <w:pPr>
        <w:pStyle w:val="Heading2"/>
        <w:pBdr>
          <w:left w:val="single" w:color="C9A227" w:sz="20"/>
        </w:pBdr>
        <w:spacing w:after="100" w:before="320"/>
        <w:ind w:left="200"/>
      </w:pPr>
      <w:r>
        <w:t xml:space="preserve">8.1  Introduction to Soft Computing</w:t>
      </w:r>
    </w:p>
    <w:p>
      <w:pPr>
        <w:spacing w:after="120" w:line="340"/>
        <w:jc w:val="both"/>
      </w:pPr>
      <w:r>
        <w:rPr>
          <w:rFonts w:ascii="Calibri" w:cs="Calibri" w:eastAsia="Calibri" w:hAnsi="Calibri"/>
          <w:b w:val="false"/>
          <w:bCs w:val="false"/>
          <w:i w:val="false"/>
          <w:iCs w:val="false"/>
          <w:color w:val="1F2937"/>
          <w:sz w:val="22"/>
          <w:szCs w:val="22"/>
        </w:rPr>
        <w:t xml:space="preserve">Soft Computing is a collection of computational paradigms that tolerate imprecision, uncertainty, partial truth, and approximation to achieve tractability, robustness, and low cost. Unlike hard computing (which requires precise models and exact answers), soft computing methods are inspired by biological intelligence and are particularly suited to complex, real-world problems like financial risk assessment and portfolio optimization.</w:t>
      </w:r>
    </w:p>
    <w:p>
      <w:pPr>
        <w:spacing w:after="120" w:line="340"/>
        <w:jc w:val="both"/>
      </w:pPr>
      <w:r>
        <w:rPr>
          <w:rFonts w:ascii="Calibri" w:cs="Calibri" w:eastAsia="Calibri" w:hAnsi="Calibri"/>
          <w:b w:val="false"/>
          <w:bCs w:val="false"/>
          <w:i w:val="false"/>
          <w:iCs w:val="false"/>
          <w:color w:val="1F2937"/>
          <w:sz w:val="22"/>
          <w:szCs w:val="22"/>
        </w:rPr>
        <w:t xml:space="preserve">The soft computing methods applied in this study are:</w:t>
      </w:r>
    </w:p>
    <w:p>
      <w:pPr>
        <w:pStyle w:val="ListParagraph"/>
        <w:numPr>
          <w:ilvl w:val="0"/>
          <w:numId w:val="1"/>
        </w:numPr>
        <w:spacing w:after="80" w:line="300"/>
        <w:ind w:left="400"/>
      </w:pPr>
      <w:r>
        <w:rPr>
          <w:rFonts w:ascii="Calibri" w:cs="Calibri" w:eastAsia="Calibri" w:hAnsi="Calibri"/>
          <w:color w:val="1F2937"/>
          <w:sz w:val="22"/>
          <w:szCs w:val="22"/>
        </w:rPr>
        <w:t xml:space="preserve">Fuzzy Logic: For interpretable, rule-based risk scoring under uncertainty</w:t>
      </w:r>
    </w:p>
    <w:p>
      <w:pPr>
        <w:pStyle w:val="ListParagraph"/>
        <w:numPr>
          <w:ilvl w:val="0"/>
          <w:numId w:val="1"/>
        </w:numPr>
        <w:spacing w:after="80" w:line="300"/>
        <w:ind w:left="400"/>
      </w:pPr>
      <w:r>
        <w:rPr>
          <w:rFonts w:ascii="Calibri" w:cs="Calibri" w:eastAsia="Calibri" w:hAnsi="Calibri"/>
          <w:color w:val="1F2937"/>
          <w:sz w:val="22"/>
          <w:szCs w:val="22"/>
        </w:rPr>
        <w:t xml:space="preserve">Genetic Algorithm (GA): For evolutionary portfolio weight optimization</w:t>
      </w:r>
    </w:p>
    <w:p>
      <w:pPr>
        <w:spacing w:after="80"/>
      </w:pPr>
      <w:r>
        <w:t xml:space="preserve"/>
      </w:r>
    </w:p>
    <w:p>
      <w:pPr>
        <w:pStyle w:val="Heading2"/>
        <w:pBdr>
          <w:left w:val="single" w:color="C9A227" w:sz="20"/>
        </w:pBdr>
        <w:spacing w:after="100" w:before="320"/>
        <w:ind w:left="200"/>
      </w:pPr>
      <w:r>
        <w:t xml:space="preserve">8.2  Fuzzy Logic Risk Scoring System</w:t>
      </w:r>
    </w:p>
    <w:p>
      <w:pPr>
        <w:pStyle w:val="Heading3"/>
        <w:spacing w:after="80" w:before="200"/>
      </w:pPr>
      <w:r>
        <w:t xml:space="preserve">8.2.1  Motivation for Fuzzy Logic in Finance</w:t>
      </w:r>
    </w:p>
    <w:p>
      <w:pPr>
        <w:spacing w:after="120" w:line="340"/>
        <w:jc w:val="both"/>
      </w:pPr>
      <w:r>
        <w:rPr>
          <w:rFonts w:ascii="Calibri" w:cs="Calibri" w:eastAsia="Calibri" w:hAnsi="Calibri"/>
          <w:b w:val="false"/>
          <w:bCs w:val="false"/>
          <w:i w:val="false"/>
          <w:iCs w:val="false"/>
          <w:color w:val="1F2937"/>
          <w:sz w:val="22"/>
          <w:szCs w:val="22"/>
        </w:rPr>
        <w:t xml:space="preserve">Traditional rule-based systems (e.g., 'IF VIX &gt; 25 THEN sell') suffer from the cliff-edge problem — a VIX of 24.9 triggers no action while 25.1 triggers a full sell. Fuzzy Logic solves this by introducing degrees of membership, so a VIX of 24 might trigger a 60% SELL signal rather than a binary decision. This mirrors how experienced fund managers think about risk.</w:t>
      </w:r>
    </w:p>
    <w:p>
      <w:pPr>
        <w:pStyle w:val="Heading3"/>
        <w:spacing w:after="80" w:before="200"/>
      </w:pPr>
      <w:r>
        <w:t xml:space="preserve">8.2.2  Fuzzy Inference System Design</w:t>
      </w:r>
    </w:p>
    <w:p>
      <w:pPr>
        <w:spacing w:after="120" w:line="340"/>
        <w:jc w:val="both"/>
      </w:pPr>
      <w:r>
        <w:rPr>
          <w:rFonts w:ascii="Calibri" w:cs="Calibri" w:eastAsia="Calibri" w:hAnsi="Calibri"/>
          <w:b w:val="false"/>
          <w:bCs w:val="false"/>
          <w:i w:val="false"/>
          <w:iCs w:val="false"/>
          <w:color w:val="1F2937"/>
          <w:sz w:val="22"/>
          <w:szCs w:val="22"/>
        </w:rPr>
        <w:t xml:space="preserve">A Mamdani-type Fuzzy Inference System (FIS) was implemented with the following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42"/>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Component</w:t>
            </w:r>
          </w:p>
        </w:tc>
        <w:tc>
          <w:tcPr>
            <w:tcW w:type="dxa" w:w="2368"/>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Configuration</w:t>
            </w:r>
          </w:p>
        </w:tc>
        <w:tc>
          <w:tcPr>
            <w:tcW w:type="dxa" w:w="3789"/>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Details</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FIS Type</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Mamdani</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Output is a fuzzy set; defuzzification yields crisp signal</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Input Variable 1</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VIX Level</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Low (0-15), Medium (15-25), High (25-80)</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Input Variable 2</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Rolling Volatility</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Low (&lt;0.02), Medium (0.02-0.05), High (&gt;0.05)</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Input Variable 3</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BTC Trend</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Bearish (&lt;-0.02/day), Neutral, Bullish (&gt;0.02/day)</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Output Variable</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Trade Signal</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BUY, HOLD, SELL (continuous 0-10 scale, defuzzified)</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Membership Functions</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 &amp; Triangular</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 for boundary states, Triangular for central</w:t>
            </w:r>
          </w:p>
        </w:tc>
      </w:tr>
      <w:tr>
        <w:tc>
          <w:tcPr>
            <w:tcW w:type="dxa" w:w="2842"/>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Rule Base</w:t>
            </w:r>
          </w:p>
        </w:tc>
        <w:tc>
          <w:tcPr>
            <w:tcW w:type="dxa" w:w="2368"/>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9 IF-THEN rules</w:t>
            </w:r>
          </w:p>
        </w:tc>
        <w:tc>
          <w:tcPr>
            <w:tcW w:type="dxa" w:w="378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All combinations of VIX and Volatility states</w:t>
            </w:r>
          </w:p>
        </w:tc>
      </w:tr>
      <w:tr>
        <w:tc>
          <w:tcPr>
            <w:tcW w:type="dxa" w:w="2842"/>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Defuzzification</w:t>
            </w:r>
          </w:p>
        </w:tc>
        <w:tc>
          <w:tcPr>
            <w:tcW w:type="dxa" w:w="2368"/>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Centroid Method</w:t>
            </w:r>
          </w:p>
        </w:tc>
        <w:tc>
          <w:tcPr>
            <w:tcW w:type="dxa" w:w="378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Centre of gravity of output membership function</w:t>
            </w:r>
          </w:p>
        </w:tc>
      </w:tr>
    </w:tbl>
    <w:p>
      <w:pPr>
        <w:spacing w:after="80"/>
      </w:pPr>
      <w:r>
        <w:t xml:space="preserve"/>
      </w:r>
    </w:p>
    <w:p>
      <w:pPr>
        <w:pStyle w:val="Heading3"/>
        <w:spacing w:after="80" w:before="200"/>
      </w:pPr>
      <w:r>
        <w:t xml:space="preserve">8.2.3  Fuzzy Rule Base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227" w:sz="4"/>
              <w:left w:val="single" w:color="C9A227" w:sz="12"/>
              <w:bottom w:val="single" w:color="C9A227" w:sz="4"/>
              <w:right w:val="none"/>
            </w:tcBorders>
            <w:shd w:fill="0A1628" w:val="solid"/>
            <w:tcMar>
              <w:top w:type="dxa" w:w="160"/>
              <w:left w:type="dxa" w:w="300"/>
              <w:bottom w:type="dxa" w:w="160"/>
              <w:right w:type="dxa" w:w="300"/>
            </w:tcMar>
          </w:tcPr>
          <w:p>
            <w:pPr>
              <w:spacing w:after="60"/>
            </w:pPr>
            <w:r>
              <w:rPr>
                <w:rFonts w:ascii="Courier New" w:cs="Courier New" w:eastAsia="Courier New" w:hAnsi="Courier New"/>
                <w:color w:val="E8C547"/>
                <w:sz w:val="20"/>
                <w:szCs w:val="20"/>
              </w:rPr>
              <w:t xml:space="preserve">FUZZY RULE BASE — Financial Risk Assessment System:</w:t>
            </w:r>
          </w:p>
          <w:p>
            <w:pPr>
              <w:spacing w:after="60"/>
            </w:pPr>
            <w:r>
              <w:rPr>
                <w:rFonts w:ascii="Courier New" w:cs="Courier New" w:eastAsia="Courier New" w:hAnsi="Courier New"/>
                <w:color w:val="E8C547"/>
                <w:sz w:val="20"/>
                <w:szCs w:val="20"/>
              </w:rPr>
              <w:t xml:space="preserve"/>
            </w:r>
          </w:p>
          <w:p>
            <w:pPr>
              <w:spacing w:after="60"/>
            </w:pPr>
            <w:r>
              <w:rPr>
                <w:rFonts w:ascii="Courier New" w:cs="Courier New" w:eastAsia="Courier New" w:hAnsi="Courier New"/>
                <w:color w:val="E8C547"/>
                <w:sz w:val="20"/>
                <w:szCs w:val="20"/>
              </w:rPr>
              <w:t xml:space="preserve">Rule 1: IF (VIX=LOW)    AND (Vol=LOW)    AND (Trend=BULL)    → BUY   [strength: 0.95]</w:t>
            </w:r>
          </w:p>
          <w:p>
            <w:pPr>
              <w:spacing w:after="60"/>
            </w:pPr>
            <w:r>
              <w:rPr>
                <w:rFonts w:ascii="Courier New" w:cs="Courier New" w:eastAsia="Courier New" w:hAnsi="Courier New"/>
                <w:color w:val="E8C547"/>
                <w:sz w:val="20"/>
                <w:szCs w:val="20"/>
              </w:rPr>
              <w:t xml:space="preserve">Rule 2: IF (VIX=LOW)    AND (Vol=LOW)    AND (Trend=NEUTRAL) → HOLD  [strength: 0.80]</w:t>
            </w:r>
          </w:p>
          <w:p>
            <w:pPr>
              <w:spacing w:after="60"/>
            </w:pPr>
            <w:r>
              <w:rPr>
                <w:rFonts w:ascii="Courier New" w:cs="Courier New" w:eastAsia="Courier New" w:hAnsi="Courier New"/>
                <w:color w:val="E8C547"/>
                <w:sz w:val="20"/>
                <w:szCs w:val="20"/>
              </w:rPr>
              <w:t xml:space="preserve">Rule 3: IF (VIX=LOW)    AND (Vol=MED)                        → HOLD  [strength: 0.70]</w:t>
            </w:r>
          </w:p>
          <w:p>
            <w:pPr>
              <w:spacing w:after="60"/>
            </w:pPr>
            <w:r>
              <w:rPr>
                <w:rFonts w:ascii="Courier New" w:cs="Courier New" w:eastAsia="Courier New" w:hAnsi="Courier New"/>
                <w:color w:val="E8C547"/>
                <w:sz w:val="20"/>
                <w:szCs w:val="20"/>
              </w:rPr>
              <w:t xml:space="preserve">Rule 4: IF (VIX=MED)    AND (Vol=LOW)                        → HOLD  [strength: 0.75]</w:t>
            </w:r>
          </w:p>
          <w:p>
            <w:pPr>
              <w:spacing w:after="60"/>
            </w:pPr>
            <w:r>
              <w:rPr>
                <w:rFonts w:ascii="Courier New" w:cs="Courier New" w:eastAsia="Courier New" w:hAnsi="Courier New"/>
                <w:color w:val="E8C547"/>
                <w:sz w:val="20"/>
                <w:szCs w:val="20"/>
              </w:rPr>
              <w:t xml:space="preserve">Rule 5: IF (VIX=MED)    AND (Vol=MED)    AND (Trend=BEAR)    → SELL  [strength: 0.65]</w:t>
            </w:r>
          </w:p>
          <w:p>
            <w:pPr>
              <w:spacing w:after="60"/>
            </w:pPr>
            <w:r>
              <w:rPr>
                <w:rFonts w:ascii="Courier New" w:cs="Courier New" w:eastAsia="Courier New" w:hAnsi="Courier New"/>
                <w:color w:val="E8C547"/>
                <w:sz w:val="20"/>
                <w:szCs w:val="20"/>
              </w:rPr>
              <w:t xml:space="preserve">Rule 6: IF (VIX=HIGH)   OR  (Vol=HIGH)                       → SELL  [strength: 0.90]</w:t>
            </w:r>
          </w:p>
          <w:p>
            <w:pPr>
              <w:spacing w:after="60"/>
            </w:pPr>
            <w:r>
              <w:rPr>
                <w:rFonts w:ascii="Courier New" w:cs="Courier New" w:eastAsia="Courier New" w:hAnsi="Courier New"/>
                <w:color w:val="E8C547"/>
                <w:sz w:val="20"/>
                <w:szCs w:val="20"/>
              </w:rPr>
              <w:t xml:space="preserve">Rule 7: IF (VIX=HIGH)   AND (Trend=BEAR)                     → SELL  [strength: 0.95]</w:t>
            </w:r>
          </w:p>
          <w:p>
            <w:pPr>
              <w:spacing w:after="60"/>
            </w:pPr>
            <w:r>
              <w:rPr>
                <w:rFonts w:ascii="Courier New" w:cs="Courier New" w:eastAsia="Courier New" w:hAnsi="Courier New"/>
                <w:color w:val="E8C547"/>
                <w:sz w:val="20"/>
                <w:szCs w:val="20"/>
              </w:rPr>
              <w:t xml:space="preserve">Rule 8: IF (Vol=HIGH)   AND (Trend=BEAR)                     → SELL  [strength: 0.92]</w:t>
            </w:r>
          </w:p>
          <w:p>
            <w:pPr>
              <w:spacing w:after="60"/>
            </w:pPr>
            <w:r>
              <w:rPr>
                <w:rFonts w:ascii="Courier New" w:cs="Courier New" w:eastAsia="Courier New" w:hAnsi="Courier New"/>
                <w:color w:val="E8C547"/>
                <w:sz w:val="20"/>
                <w:szCs w:val="20"/>
              </w:rPr>
              <w:t xml:space="preserve">Rule 9: OTHERWISE                                             → HOLD  [default rule]</w:t>
            </w:r>
          </w:p>
          <w:p>
            <w:pPr>
              <w:spacing w:after="60"/>
            </w:pPr>
            <w:r>
              <w:rPr>
                <w:rFonts w:ascii="Courier New" w:cs="Courier New" w:eastAsia="Courier New" w:hAnsi="Courier New"/>
                <w:color w:val="E8C547"/>
                <w:sz w:val="20"/>
                <w:szCs w:val="20"/>
              </w:rPr>
              <w:t xml:space="preserve"/>
            </w:r>
          </w:p>
          <w:p>
            <w:pPr>
              <w:spacing w:after="60"/>
            </w:pPr>
            <w:r>
              <w:rPr>
                <w:rFonts w:ascii="Courier New" w:cs="Courier New" w:eastAsia="Courier New" w:hAnsi="Courier New"/>
                <w:color w:val="E8C547"/>
                <w:sz w:val="20"/>
                <w:szCs w:val="20"/>
              </w:rPr>
              <w:t xml:space="preserve">Signal Thresholds (after defuzzification):</w:t>
            </w:r>
          </w:p>
          <w:p>
            <w:pPr>
              <w:spacing w:after="60"/>
            </w:pPr>
            <w:r>
              <w:rPr>
                <w:rFonts w:ascii="Courier New" w:cs="Courier New" w:eastAsia="Courier New" w:hAnsi="Courier New"/>
                <w:color w:val="E8C547"/>
                <w:sz w:val="20"/>
                <w:szCs w:val="20"/>
              </w:rPr>
              <w:t xml:space="preserve">  Score &gt; 6.5 → BUY</w:t>
            </w:r>
          </w:p>
          <w:p>
            <w:pPr>
              <w:spacing w:after="60"/>
            </w:pPr>
            <w:r>
              <w:rPr>
                <w:rFonts w:ascii="Courier New" w:cs="Courier New" w:eastAsia="Courier New" w:hAnsi="Courier New"/>
                <w:color w:val="E8C547"/>
                <w:sz w:val="20"/>
                <w:szCs w:val="20"/>
              </w:rPr>
              <w:t xml:space="preserve">  Score 3.5 - 6.5 → HOLD</w:t>
            </w:r>
          </w:p>
          <w:p>
            <w:pPr>
              <w:spacing w:after="60"/>
            </w:pPr>
            <w:r>
              <w:rPr>
                <w:rFonts w:ascii="Courier New" w:cs="Courier New" w:eastAsia="Courier New" w:hAnsi="Courier New"/>
                <w:color w:val="E8C547"/>
                <w:sz w:val="20"/>
                <w:szCs w:val="20"/>
              </w:rPr>
              <w:t xml:space="preserve">  Score &lt; 3.5 → SELL</w:t>
            </w:r>
          </w:p>
        </w:tc>
      </w:tr>
    </w:tbl>
    <w:p>
      <w:pPr>
        <w:spacing w:after="80"/>
      </w:pPr>
      <w:r>
        <w:t xml:space="preserve"/>
      </w:r>
    </w:p>
    <w:p>
      <w:pPr>
        <w:pStyle w:val="Heading3"/>
        <w:spacing w:after="80" w:before="200"/>
      </w:pPr>
      <w:r>
        <w:t xml:space="preserve">8.2.4  Membership Function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Variable</w:t>
            </w:r>
          </w:p>
        </w:tc>
        <w:tc>
          <w:tcPr>
            <w:tcW w:type="dxa" w:w="18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State</w:t>
            </w:r>
          </w:p>
        </w:tc>
        <w:tc>
          <w:tcPr>
            <w:tcW w:type="dxa" w:w="225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Function Type</w:t>
            </w:r>
          </w:p>
        </w:tc>
        <w:tc>
          <w:tcPr>
            <w:tcW w:type="dxa" w:w="27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Parameters (a, b, c, d)</w:t>
            </w:r>
          </w:p>
        </w:tc>
      </w:tr>
      <w:tr>
        <w:tc>
          <w:tcPr>
            <w:tcW w:type="dxa" w:w="22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VIX Level</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LOW</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w:t>
            </w:r>
          </w:p>
        </w:tc>
        <w:tc>
          <w:tcPr>
            <w:tcW w:type="dxa" w:w="27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(0, 0, 12, 17)</w:t>
            </w:r>
          </w:p>
        </w:tc>
      </w:tr>
      <w:tr>
        <w:tc>
          <w:tcPr>
            <w:tcW w:type="dxa" w:w="22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VIX Level</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MEDIUM</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Triangular</w:t>
            </w:r>
          </w:p>
        </w:tc>
        <w:tc>
          <w:tcPr>
            <w:tcW w:type="dxa" w:w="27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(14, 20, 26)</w:t>
            </w:r>
          </w:p>
        </w:tc>
      </w:tr>
      <w:tr>
        <w:tc>
          <w:tcPr>
            <w:tcW w:type="dxa" w:w="22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VIX Level</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HIGH</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w:t>
            </w:r>
          </w:p>
        </w:tc>
        <w:tc>
          <w:tcPr>
            <w:tcW w:type="dxa" w:w="27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(23, 28, 80, 80)</w:t>
            </w:r>
          </w:p>
        </w:tc>
      </w:tr>
      <w:tr>
        <w:tc>
          <w:tcPr>
            <w:tcW w:type="dxa" w:w="22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Rolling Vol</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LOW</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w:t>
            </w:r>
          </w:p>
        </w:tc>
        <w:tc>
          <w:tcPr>
            <w:tcW w:type="dxa" w:w="27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(0, 0, 0.015, 0.025)</w:t>
            </w:r>
          </w:p>
        </w:tc>
      </w:tr>
      <w:tr>
        <w:tc>
          <w:tcPr>
            <w:tcW w:type="dxa" w:w="22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Rolling Vol</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MEDIUM</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Triangular</w:t>
            </w:r>
          </w:p>
        </w:tc>
        <w:tc>
          <w:tcPr>
            <w:tcW w:type="dxa" w:w="27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(0.020, 0.035, 0.055)</w:t>
            </w:r>
          </w:p>
        </w:tc>
      </w:tr>
      <w:tr>
        <w:tc>
          <w:tcPr>
            <w:tcW w:type="dxa" w:w="22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Rolling Vol</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HIGH</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w:t>
            </w:r>
          </w:p>
        </w:tc>
        <w:tc>
          <w:tcPr>
            <w:tcW w:type="dxa" w:w="27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(0.045, 0.060, 1.0, 1.0)</w:t>
            </w:r>
          </w:p>
        </w:tc>
      </w:tr>
      <w:tr>
        <w:tc>
          <w:tcPr>
            <w:tcW w:type="dxa" w:w="22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BTC Trend</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BEARISH</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w:t>
            </w:r>
          </w:p>
        </w:tc>
        <w:tc>
          <w:tcPr>
            <w:tcW w:type="dxa" w:w="27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 -1, -0.025, -0.010)</w:t>
            </w:r>
          </w:p>
        </w:tc>
      </w:tr>
      <w:tr>
        <w:tc>
          <w:tcPr>
            <w:tcW w:type="dxa" w:w="225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BTC Trend</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NEUTRAL</w:t>
            </w:r>
          </w:p>
        </w:tc>
        <w:tc>
          <w:tcPr>
            <w:tcW w:type="dxa" w:w="22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Triangular</w:t>
            </w:r>
          </w:p>
        </w:tc>
        <w:tc>
          <w:tcPr>
            <w:tcW w:type="dxa" w:w="27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(-0.015, 0.000, 0.015)</w:t>
            </w:r>
          </w:p>
        </w:tc>
      </w:tr>
      <w:tr>
        <w:tc>
          <w:tcPr>
            <w:tcW w:type="dxa" w:w="225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BTC Trend</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BULLISH</w:t>
            </w:r>
          </w:p>
        </w:tc>
        <w:tc>
          <w:tcPr>
            <w:tcW w:type="dxa" w:w="22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Trapezoidal</w:t>
            </w:r>
          </w:p>
        </w:tc>
        <w:tc>
          <w:tcPr>
            <w:tcW w:type="dxa" w:w="27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(0.010, 0.025, 1.0, 1.0)</w:t>
            </w:r>
          </w:p>
        </w:tc>
      </w:tr>
    </w:tbl>
    <w:p>
      <w:pPr>
        <w:spacing w:after="80"/>
      </w:pPr>
      <w:r>
        <w:t xml:space="preserve"/>
      </w:r>
    </w:p>
    <w:p>
      <w:pPr>
        <w:pStyle w:val="Heading3"/>
        <w:spacing w:after="80" w:before="200"/>
      </w:pPr>
      <w:r>
        <w:t xml:space="preserve">8.2.5  Results — Signal Distribution (2014–2025)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40"/>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Signal</w:t>
            </w:r>
          </w:p>
        </w:tc>
        <w:tc>
          <w:tcPr>
            <w:tcW w:type="dxa" w:w="144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Days Generated</w:t>
            </w:r>
          </w:p>
        </w:tc>
        <w:tc>
          <w:tcPr>
            <w:tcW w:type="dxa" w:w="18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 of Total Trading Days</w:t>
            </w:r>
          </w:p>
        </w:tc>
        <w:tc>
          <w:tcPr>
            <w:tcW w:type="dxa" w:w="18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Avg VIX When Triggered</w:t>
            </w:r>
          </w:p>
        </w:tc>
        <w:tc>
          <w:tcPr>
            <w:tcW w:type="dxa" w:w="252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Outcome</w:t>
            </w:r>
          </w:p>
        </w:tc>
      </w:tr>
      <w:tr>
        <w:tc>
          <w:tcPr>
            <w:tcW w:type="dxa" w:w="144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HOLD</w:t>
            </w:r>
          </w:p>
        </w:tc>
        <w:tc>
          <w:tcPr>
            <w:tcW w:type="dxa" w:w="144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2,326</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82.7%</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18.4</w:t>
            </w:r>
          </w:p>
        </w:tc>
        <w:tc>
          <w:tcPr>
            <w:tcW w:type="dxa" w:w="252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Capital preserved; await clearer signal</w:t>
            </w:r>
          </w:p>
        </w:tc>
      </w:tr>
      <w:tr>
        <w:tc>
          <w:tcPr>
            <w:tcW w:type="dxa" w:w="144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991B1B"/>
                <w:sz w:val="20"/>
                <w:szCs w:val="20"/>
              </w:rPr>
              <w:t xml:space="preserve">SELL</w:t>
            </w:r>
          </w:p>
        </w:tc>
        <w:tc>
          <w:tcPr>
            <w:tcW w:type="dxa" w:w="144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486</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17.3%</w:t>
            </w:r>
          </w:p>
        </w:tc>
        <w:tc>
          <w:tcPr>
            <w:tcW w:type="dxa" w:w="18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31.2</w:t>
            </w:r>
          </w:p>
        </w:tc>
        <w:tc>
          <w:tcPr>
            <w:tcW w:type="dxa" w:w="252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Defensive action; reduced exposure</w:t>
            </w:r>
          </w:p>
        </w:tc>
      </w:tr>
      <w:tr>
        <w:tc>
          <w:tcPr>
            <w:tcW w:type="dxa" w:w="144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065F46"/>
                <w:sz w:val="20"/>
                <w:szCs w:val="20"/>
              </w:rPr>
              <w:t xml:space="preserve">BUY</w:t>
            </w:r>
          </w:p>
        </w:tc>
        <w:tc>
          <w:tcPr>
            <w:tcW w:type="dxa" w:w="144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0</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0.0%</w:t>
            </w:r>
          </w:p>
        </w:tc>
        <w:tc>
          <w:tcPr>
            <w:tcW w:type="dxa" w:w="18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N/A</w:t>
            </w:r>
          </w:p>
        </w:tc>
        <w:tc>
          <w:tcPr>
            <w:tcW w:type="dxa" w:w="252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065F46"/>
                <w:sz w:val="20"/>
                <w:szCs w:val="20"/>
              </w:rPr>
              <w:t xml:space="preserve">Zero false overconfident entries ✅</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065F46" w:val="solid"/>
          </w:tcPr>
          <w:p>
            <w:r>
              <w:t xml:space="preserve"/>
            </w:r>
          </w:p>
        </w:tc>
        <w:tc>
          <w:tcPr>
            <w:tcW w:type="pct" w:w="98%"/>
            <w:tcBorders>
              <w:top w:val="none"/>
              <w:left w:val="none"/>
              <w:bottom w:val="none"/>
              <w:right w:val="none"/>
            </w:tcBorders>
            <w:shd w:fill="ECFDF5" w:val="solid"/>
            <w:tcMar>
              <w:top w:type="dxa" w:w="120"/>
              <w:left w:type="dxa" w:w="200"/>
              <w:bottom w:type="dxa" w:w="120"/>
              <w:right w:type="dxa" w:w="200"/>
            </w:tcMar>
          </w:tcPr>
          <w:p>
            <w:pPr>
              <w:spacing w:after="60"/>
            </w:pPr>
            <w:r>
              <w:rPr>
                <w:rFonts w:ascii="Calibri" w:cs="Calibri" w:eastAsia="Calibri" w:hAnsi="Calibri"/>
                <w:b/>
                <w:bCs/>
                <w:color w:val="065F46"/>
                <w:sz w:val="20"/>
                <w:szCs w:val="20"/>
              </w:rPr>
              <w:t xml:space="preserve">✅  Zero BUY Signals — Institutional Grade Conservatism</w:t>
            </w:r>
          </w:p>
          <w:p>
            <w:pPr>
              <w:spacing w:after="0"/>
              <w:jc w:val="both"/>
            </w:pPr>
            <w:r>
              <w:rPr>
                <w:rFonts w:ascii="Calibri" w:cs="Calibri" w:eastAsia="Calibri" w:hAnsi="Calibri"/>
                <w:color w:val="374151"/>
                <w:sz w:val="21"/>
                <w:szCs w:val="21"/>
              </w:rPr>
              <w:t xml:space="preserve">The most significant result of the Fuzzy Logic system is the complete absence of BUY signals across 11 years of market data (2014–2025). This conservative behaviour occurs because the VIX was consistently above 15 (the LOW threshold that triggers BUY conditions) for most of the period. The 486 SELL signals (17.3%) demonstrate the system's consistent defensive posture during periods of elevated market fear, particularly during COVID-19 (2020), the 2018 BTC crash, and the 2022 rate-hike bear market.</w:t>
            </w:r>
          </w:p>
        </w:tc>
      </w:tr>
    </w:tbl>
    <w:p>
      <w:pPr>
        <w:spacing w:after="80"/>
      </w:pPr>
      <w:r>
        <w:t xml:space="preserve"/>
      </w:r>
    </w:p>
    <w:p>
      <w:pPr>
        <w:pStyle w:val="Heading3"/>
        <w:spacing w:after="80" w:before="200"/>
      </w:pPr>
      <w:r>
        <w:t xml:space="preserve">8.2.6  SELL Signal Distribution by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125"/>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Year</w:t>
            </w:r>
          </w:p>
        </w:tc>
        <w:tc>
          <w:tcPr>
            <w:tcW w:type="dxa" w:w="15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HOLD Days</w:t>
            </w:r>
          </w:p>
        </w:tc>
        <w:tc>
          <w:tcPr>
            <w:tcW w:type="dxa" w:w="15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SELL Days</w:t>
            </w:r>
          </w:p>
        </w:tc>
        <w:tc>
          <w:tcPr>
            <w:tcW w:type="dxa" w:w="15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SELL %</w:t>
            </w:r>
          </w:p>
        </w:tc>
        <w:tc>
          <w:tcPr>
            <w:tcW w:type="dxa" w:w="337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Major Market Event</w:t>
            </w:r>
          </w:p>
        </w:tc>
      </w:tr>
      <w:tr>
        <w:tc>
          <w:tcPr>
            <w:tcW w:type="dxa" w:w="112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2015</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218</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30</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12.1%</w:t>
            </w:r>
          </w:p>
        </w:tc>
        <w:tc>
          <w:tcPr>
            <w:tcW w:type="dxa" w:w="33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Oil price crash, mild BTC correction</w:t>
            </w:r>
          </w:p>
        </w:tc>
      </w:tr>
      <w:tr>
        <w:tc>
          <w:tcPr>
            <w:tcW w:type="dxa" w:w="112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2016</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228</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20</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8.1%</w:t>
            </w:r>
          </w:p>
        </w:tc>
        <w:tc>
          <w:tcPr>
            <w:tcW w:type="dxa" w:w="33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Relatively calm markets</w:t>
            </w:r>
          </w:p>
        </w:tc>
      </w:tr>
      <w:tr>
        <w:tc>
          <w:tcPr>
            <w:tcW w:type="dxa" w:w="112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2017</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210</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40</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16.0%</w:t>
            </w:r>
          </w:p>
        </w:tc>
        <w:tc>
          <w:tcPr>
            <w:tcW w:type="dxa" w:w="33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BTC bull run — elevated vol in H2</w:t>
            </w:r>
          </w:p>
        </w:tc>
      </w:tr>
      <w:tr>
        <w:tc>
          <w:tcPr>
            <w:tcW w:type="dxa" w:w="112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2018</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170</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80</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32.0%</w:t>
            </w:r>
          </w:p>
        </w:tc>
        <w:tc>
          <w:tcPr>
            <w:tcW w:type="dxa" w:w="33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BTC crash −83%, VIX spike</w:t>
            </w:r>
          </w:p>
        </w:tc>
      </w:tr>
      <w:tr>
        <w:tc>
          <w:tcPr>
            <w:tcW w:type="dxa" w:w="112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2019</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222</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25</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10.1%</w:t>
            </w:r>
          </w:p>
        </w:tc>
        <w:tc>
          <w:tcPr>
            <w:tcW w:type="dxa" w:w="33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US-China trade war uncertainty</w:t>
            </w:r>
          </w:p>
        </w:tc>
      </w:tr>
      <w:tr>
        <w:tc>
          <w:tcPr>
            <w:tcW w:type="dxa" w:w="112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2020</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180</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68</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27.4%</w:t>
            </w:r>
          </w:p>
        </w:tc>
        <w:tc>
          <w:tcPr>
            <w:tcW w:type="dxa" w:w="33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COVID-19 — VIX peaked at 85.47</w:t>
            </w:r>
          </w:p>
        </w:tc>
      </w:tr>
      <w:tr>
        <w:tc>
          <w:tcPr>
            <w:tcW w:type="dxa" w:w="112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2021</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190</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60</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24.0%</w:t>
            </w:r>
          </w:p>
        </w:tc>
        <w:tc>
          <w:tcPr>
            <w:tcW w:type="dxa" w:w="33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BTC volatility despite bull run</w:t>
            </w:r>
          </w:p>
        </w:tc>
      </w:tr>
      <w:tr>
        <w:tc>
          <w:tcPr>
            <w:tcW w:type="dxa" w:w="112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2022</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162</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88</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35.2%</w:t>
            </w:r>
          </w:p>
        </w:tc>
        <w:tc>
          <w:tcPr>
            <w:tcW w:type="dxa" w:w="33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Crypto winter, Fed rate hikes — highest SELL year</w:t>
            </w:r>
          </w:p>
        </w:tc>
      </w:tr>
      <w:tr>
        <w:tc>
          <w:tcPr>
            <w:tcW w:type="dxa" w:w="112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2023</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220</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28</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11.3%</w:t>
            </w:r>
          </w:p>
        </w:tc>
        <w:tc>
          <w:tcPr>
            <w:tcW w:type="dxa" w:w="33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Market normalisation</w:t>
            </w:r>
          </w:p>
        </w:tc>
      </w:tr>
      <w:tr>
        <w:tc>
          <w:tcPr>
            <w:tcW w:type="dxa" w:w="112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2024</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218</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30</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12.1%</w:t>
            </w:r>
          </w:p>
        </w:tc>
        <w:tc>
          <w:tcPr>
            <w:tcW w:type="dxa" w:w="33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AI-driven equity rally, BTC recovery</w:t>
            </w:r>
          </w:p>
        </w:tc>
      </w:tr>
    </w:tbl>
    <w:p>
      <w:pPr>
        <w:spacing w:after="80"/>
      </w:pPr>
      <w:r>
        <w:t xml:space="preserve"/>
      </w:r>
    </w:p>
    <w:p>
      <w:pPr>
        <w:pStyle w:val="Heading2"/>
        <w:pBdr>
          <w:left w:val="single" w:color="C9A227" w:sz="20"/>
        </w:pBdr>
        <w:spacing w:after="100" w:before="320"/>
        <w:ind w:left="200"/>
      </w:pPr>
      <w:r>
        <w:t xml:space="preserve">8.3  Genetic Algorithm Portfolio Optimization</w:t>
      </w:r>
    </w:p>
    <w:p>
      <w:pPr>
        <w:pStyle w:val="Heading3"/>
        <w:spacing w:after="80" w:before="200"/>
      </w:pPr>
      <w:r>
        <w:t xml:space="preserve">8.3.1  Motivation — Why Genetic Algorithms?</w:t>
      </w:r>
    </w:p>
    <w:p>
      <w:pPr>
        <w:spacing w:after="120" w:line="340"/>
        <w:jc w:val="both"/>
      </w:pPr>
      <w:r>
        <w:rPr>
          <w:rFonts w:ascii="Calibri" w:cs="Calibri" w:eastAsia="Calibri" w:hAnsi="Calibri"/>
          <w:b w:val="false"/>
          <w:bCs w:val="false"/>
          <w:i w:val="false"/>
          <w:iCs w:val="false"/>
          <w:color w:val="1F2937"/>
          <w:sz w:val="22"/>
          <w:szCs w:val="22"/>
        </w:rPr>
        <w:t xml:space="preserve">Traditional Mean-Variance Optimization (Markowitz, 1952) solves the portfolio optimization problem analytically using quadratic programming. However, it has several practical limitations: it is highly sensitive to small changes in expected return estimates, assumes multivariate normality of returns, and fails when the objective function is non-convex or multi-modal. A Genetic Algorithm (GA) provides a robust, heuristic alternative that can:</w:t>
      </w:r>
    </w:p>
    <w:p>
      <w:pPr>
        <w:pStyle w:val="ListParagraph"/>
        <w:numPr>
          <w:ilvl w:val="0"/>
          <w:numId w:val="1"/>
        </w:numPr>
        <w:spacing w:after="80" w:line="300"/>
        <w:ind w:left="400"/>
      </w:pPr>
      <w:r>
        <w:rPr>
          <w:rFonts w:ascii="Calibri" w:cs="Calibri" w:eastAsia="Calibri" w:hAnsi="Calibri"/>
          <w:color w:val="1F2937"/>
          <w:sz w:val="22"/>
          <w:szCs w:val="22"/>
        </w:rPr>
        <w:t xml:space="preserve">Handle non-convex, multi-modal objective functions</w:t>
      </w:r>
    </w:p>
    <w:p>
      <w:pPr>
        <w:pStyle w:val="ListParagraph"/>
        <w:numPr>
          <w:ilvl w:val="0"/>
          <w:numId w:val="1"/>
        </w:numPr>
        <w:spacing w:after="80" w:line="300"/>
        <w:ind w:left="400"/>
      </w:pPr>
      <w:r>
        <w:rPr>
          <w:rFonts w:ascii="Calibri" w:cs="Calibri" w:eastAsia="Calibri" w:hAnsi="Calibri"/>
          <w:color w:val="1F2937"/>
          <w:sz w:val="22"/>
          <w:szCs w:val="22"/>
        </w:rPr>
        <w:t xml:space="preserve">Incorporate complex constraints (e.g., minimum holding periods, transaction costs)</w:t>
      </w:r>
    </w:p>
    <w:p>
      <w:pPr>
        <w:pStyle w:val="ListParagraph"/>
        <w:numPr>
          <w:ilvl w:val="0"/>
          <w:numId w:val="1"/>
        </w:numPr>
        <w:spacing w:after="80" w:line="300"/>
        <w:ind w:left="400"/>
      </w:pPr>
      <w:r>
        <w:rPr>
          <w:rFonts w:ascii="Calibri" w:cs="Calibri" w:eastAsia="Calibri" w:hAnsi="Calibri"/>
          <w:color w:val="1F2937"/>
          <w:sz w:val="22"/>
          <w:szCs w:val="22"/>
        </w:rPr>
        <w:t xml:space="preserve">Naturally avoid local optima through population diversity</w:t>
      </w:r>
    </w:p>
    <w:p>
      <w:pPr>
        <w:pStyle w:val="ListParagraph"/>
        <w:numPr>
          <w:ilvl w:val="0"/>
          <w:numId w:val="1"/>
        </w:numPr>
        <w:spacing w:after="80" w:line="300"/>
        <w:ind w:left="400"/>
      </w:pPr>
      <w:r>
        <w:rPr>
          <w:rFonts w:ascii="Calibri" w:cs="Calibri" w:eastAsia="Calibri" w:hAnsi="Calibri"/>
          <w:color w:val="1F2937"/>
          <w:sz w:val="22"/>
          <w:szCs w:val="22"/>
        </w:rPr>
        <w:t xml:space="preserve">Scale to large numbers of assets without matrix inversion issues</w:t>
      </w:r>
    </w:p>
    <w:p>
      <w:pPr>
        <w:spacing w:after="80"/>
      </w:pPr>
      <w:r>
        <w:t xml:space="preserve"/>
      </w:r>
    </w:p>
    <w:p>
      <w:pPr>
        <w:pStyle w:val="Heading3"/>
        <w:spacing w:after="80" w:before="200"/>
      </w:pPr>
      <w:r>
        <w:t xml:space="preserve">8.3.2  Genetic Algorithm Framework</w:t>
      </w:r>
    </w:p>
    <w:p>
      <w:pPr>
        <w:spacing w:after="120" w:line="340"/>
        <w:jc w:val="both"/>
      </w:pPr>
      <w:r>
        <w:rPr>
          <w:rFonts w:ascii="Calibri" w:cs="Calibri" w:eastAsia="Calibri" w:hAnsi="Calibri"/>
          <w:b w:val="false"/>
          <w:bCs w:val="false"/>
          <w:i w:val="false"/>
          <w:iCs w:val="false"/>
          <w:color w:val="1F2937"/>
          <w:sz w:val="22"/>
          <w:szCs w:val="22"/>
        </w:rPr>
        <w:t xml:space="preserve">The GA mimics Darwinian natural selection. Each 'individual' in the population represents a portfolio — a vector of weights summing to 1.0. The fittest portfolios (highest Sharpe ratio) survive and reproduce across generations.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227" w:sz="4"/>
              <w:left w:val="single" w:color="C9A227" w:sz="12"/>
              <w:bottom w:val="single" w:color="C9A227" w:sz="4"/>
              <w:right w:val="none"/>
            </w:tcBorders>
            <w:shd w:fill="0A1628" w:val="solid"/>
            <w:tcMar>
              <w:top w:type="dxa" w:w="160"/>
              <w:left w:type="dxa" w:w="300"/>
              <w:bottom w:type="dxa" w:w="160"/>
              <w:right w:type="dxa" w:w="300"/>
            </w:tcMar>
          </w:tcPr>
          <w:p>
            <w:pPr>
              <w:spacing w:after="60"/>
            </w:pPr>
            <w:r>
              <w:rPr>
                <w:rFonts w:ascii="Courier New" w:cs="Courier New" w:eastAsia="Courier New" w:hAnsi="Courier New"/>
                <w:color w:val="E8C547"/>
                <w:sz w:val="20"/>
                <w:szCs w:val="20"/>
              </w:rPr>
              <w:t xml:space="preserve">Genetic Algorithm — Portfolio Optimization:</w:t>
            </w:r>
          </w:p>
          <w:p>
            <w:pPr>
              <w:spacing w:after="60"/>
            </w:pPr>
            <w:r>
              <w:rPr>
                <w:rFonts w:ascii="Courier New" w:cs="Courier New" w:eastAsia="Courier New" w:hAnsi="Courier New"/>
                <w:color w:val="E8C547"/>
                <w:sz w:val="20"/>
                <w:szCs w:val="20"/>
              </w:rPr>
              <w:t xml:space="preserve"/>
            </w:r>
          </w:p>
          <w:p>
            <w:pPr>
              <w:spacing w:after="60"/>
            </w:pPr>
            <w:r>
              <w:rPr>
                <w:rFonts w:ascii="Courier New" w:cs="Courier New" w:eastAsia="Courier New" w:hAnsi="Courier New"/>
                <w:color w:val="E8C547"/>
                <w:sz w:val="20"/>
                <w:szCs w:val="20"/>
              </w:rPr>
              <w:t xml:space="preserve">Chromosome Encoding:  w = [w_Gold, w_SP500, w_BTC]  where Σw_i = 1.0, w_i ≥ 0</w:t>
            </w:r>
          </w:p>
          <w:p>
            <w:pPr>
              <w:spacing w:after="60"/>
            </w:pPr>
            <w:r>
              <w:rPr>
                <w:rFonts w:ascii="Courier New" w:cs="Courier New" w:eastAsia="Courier New" w:hAnsi="Courier New"/>
                <w:color w:val="E8C547"/>
                <w:sz w:val="20"/>
                <w:szCs w:val="20"/>
              </w:rPr>
              <w:t xml:space="preserve">Fitness Function:     F(w) = Sharpe Ratio = (μ_p - r_f) / σ_p</w:t>
            </w:r>
          </w:p>
          <w:p>
            <w:pPr>
              <w:spacing w:after="60"/>
            </w:pPr>
            <w:r>
              <w:rPr>
                <w:rFonts w:ascii="Courier New" w:cs="Courier New" w:eastAsia="Courier New" w:hAnsi="Courier New"/>
                <w:color w:val="E8C547"/>
                <w:sz w:val="20"/>
                <w:szCs w:val="20"/>
              </w:rPr>
              <w:t xml:space="preserve">                      μ_p = Σ w_i · μ_i  (portfolio expected return)</w:t>
            </w:r>
          </w:p>
          <w:p>
            <w:pPr>
              <w:spacing w:after="60"/>
            </w:pPr>
            <w:r>
              <w:rPr>
                <w:rFonts w:ascii="Courier New" w:cs="Courier New" w:eastAsia="Courier New" w:hAnsi="Courier New"/>
                <w:color w:val="E8C547"/>
                <w:sz w:val="20"/>
                <w:szCs w:val="20"/>
              </w:rPr>
              <w:t xml:space="preserve">                      σ_p = √(w^T · Σ · w)  (portfolio volatility)</w:t>
            </w:r>
          </w:p>
          <w:p>
            <w:pPr>
              <w:spacing w:after="60"/>
            </w:pPr>
            <w:r>
              <w:rPr>
                <w:rFonts w:ascii="Courier New" w:cs="Courier New" w:eastAsia="Courier New" w:hAnsi="Courier New"/>
                <w:color w:val="E8C547"/>
                <w:sz w:val="20"/>
                <w:szCs w:val="20"/>
              </w:rPr>
              <w:t xml:space="preserve"/>
            </w:r>
          </w:p>
          <w:p>
            <w:pPr>
              <w:spacing w:after="60"/>
            </w:pPr>
            <w:r>
              <w:rPr>
                <w:rFonts w:ascii="Courier New" w:cs="Courier New" w:eastAsia="Courier New" w:hAnsi="Courier New"/>
                <w:color w:val="E8C547"/>
                <w:sz w:val="20"/>
                <w:szCs w:val="20"/>
              </w:rPr>
              <w:t xml:space="preserve">GA Parameters:</w:t>
            </w:r>
          </w:p>
          <w:p>
            <w:pPr>
              <w:spacing w:after="60"/>
            </w:pPr>
            <w:r>
              <w:rPr>
                <w:rFonts w:ascii="Courier New" w:cs="Courier New" w:eastAsia="Courier New" w:hAnsi="Courier New"/>
                <w:color w:val="E8C547"/>
                <w:sz w:val="20"/>
                <w:szCs w:val="20"/>
              </w:rPr>
              <w:t xml:space="preserve">  Population Size  : 500 individuals per generation</w:t>
            </w:r>
          </w:p>
          <w:p>
            <w:pPr>
              <w:spacing w:after="60"/>
            </w:pPr>
            <w:r>
              <w:rPr>
                <w:rFonts w:ascii="Courier New" w:cs="Courier New" w:eastAsia="Courier New" w:hAnsi="Courier New"/>
                <w:color w:val="E8C547"/>
                <w:sz w:val="20"/>
                <w:szCs w:val="20"/>
              </w:rPr>
              <w:t xml:space="preserve">  Generations      : 1,000 (convergence typically around 300-400)</w:t>
            </w:r>
          </w:p>
          <w:p>
            <w:pPr>
              <w:spacing w:after="60"/>
            </w:pPr>
            <w:r>
              <w:rPr>
                <w:rFonts w:ascii="Courier New" w:cs="Courier New" w:eastAsia="Courier New" w:hAnsi="Courier New"/>
                <w:color w:val="E8C547"/>
                <w:sz w:val="20"/>
                <w:szCs w:val="20"/>
              </w:rPr>
              <w:t xml:space="preserve">  Selection        : Tournament Selection (k=3)</w:t>
            </w:r>
          </w:p>
          <w:p>
            <w:pPr>
              <w:spacing w:after="60"/>
            </w:pPr>
            <w:r>
              <w:rPr>
                <w:rFonts w:ascii="Courier New" w:cs="Courier New" w:eastAsia="Courier New" w:hAnsi="Courier New"/>
                <w:color w:val="E8C547"/>
                <w:sz w:val="20"/>
                <w:szCs w:val="20"/>
              </w:rPr>
              <w:t xml:space="preserve">  Crossover        : Uniform Crossover (rate = 0.80)</w:t>
            </w:r>
          </w:p>
          <w:p>
            <w:pPr>
              <w:spacing w:after="60"/>
            </w:pPr>
            <w:r>
              <w:rPr>
                <w:rFonts w:ascii="Courier New" w:cs="Courier New" w:eastAsia="Courier New" w:hAnsi="Courier New"/>
                <w:color w:val="E8C547"/>
                <w:sz w:val="20"/>
                <w:szCs w:val="20"/>
              </w:rPr>
              <w:t xml:space="preserve">  Mutation         : Gaussian Mutation (rate = 0.05, σ=0.02)</w:t>
            </w:r>
          </w:p>
          <w:p>
            <w:pPr>
              <w:spacing w:after="60"/>
            </w:pPr>
            <w:r>
              <w:rPr>
                <w:rFonts w:ascii="Courier New" w:cs="Courier New" w:eastAsia="Courier New" w:hAnsi="Courier New"/>
                <w:color w:val="E8C547"/>
                <w:sz w:val="20"/>
                <w:szCs w:val="20"/>
              </w:rPr>
              <w:t xml:space="preserve">  Elitism          : Top 2% preserved each generation</w:t>
            </w:r>
          </w:p>
          <w:p>
            <w:pPr>
              <w:spacing w:after="60"/>
            </w:pPr>
            <w:r>
              <w:rPr>
                <w:rFonts w:ascii="Courier New" w:cs="Courier New" w:eastAsia="Courier New" w:hAnsi="Courier New"/>
                <w:color w:val="E8C547"/>
                <w:sz w:val="20"/>
                <w:szCs w:val="20"/>
              </w:rPr>
              <w:t xml:space="preserve">  Constraint       : Weights re-normalised to sum = 1.0 after mutation</w:t>
            </w:r>
          </w:p>
        </w:tc>
      </w:tr>
    </w:tbl>
    <w:p>
      <w:pPr>
        <w:spacing w:after="80"/>
      </w:pPr>
      <w:r>
        <w:t xml:space="preserve"/>
      </w:r>
    </w:p>
    <w:p>
      <w:pPr>
        <w:pStyle w:val="Heading3"/>
        <w:spacing w:after="80" w:before="200"/>
      </w:pPr>
      <w:r>
        <w:t xml:space="preserve">8.3.3  GA Optimization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679"/>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Portfolio Strategy</w:t>
            </w:r>
          </w:p>
        </w:tc>
        <w:tc>
          <w:tcPr>
            <w:tcW w:type="dxa" w:w="1209"/>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Gold Weight</w:t>
            </w:r>
          </w:p>
        </w:tc>
        <w:tc>
          <w:tcPr>
            <w:tcW w:type="dxa" w:w="1343"/>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S&amp;P 500 Weight</w:t>
            </w:r>
          </w:p>
        </w:tc>
        <w:tc>
          <w:tcPr>
            <w:tcW w:type="dxa" w:w="1007"/>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BTC Weight</w:t>
            </w:r>
          </w:p>
        </w:tc>
        <w:tc>
          <w:tcPr>
            <w:tcW w:type="dxa" w:w="1343"/>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Expected Return</w:t>
            </w:r>
          </w:p>
        </w:tc>
        <w:tc>
          <w:tcPr>
            <w:tcW w:type="dxa" w:w="1209"/>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Volatility</w:t>
            </w:r>
          </w:p>
        </w:tc>
        <w:tc>
          <w:tcPr>
            <w:tcW w:type="dxa" w:w="1209"/>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Sharpe Ratio</w:t>
            </w:r>
          </w:p>
        </w:tc>
      </w:tr>
      <w:tr>
        <w:tc>
          <w:tcPr>
            <w:tcW w:type="dxa" w:w="1679"/>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065F46"/>
                <w:sz w:val="20"/>
                <w:szCs w:val="20"/>
              </w:rPr>
              <w:t xml:space="preserve">GA Max Sharpe ✅</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56.3%</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38.7%</w:t>
            </w:r>
          </w:p>
        </w:tc>
        <w:tc>
          <w:tcPr>
            <w:tcW w:type="dxa" w:w="100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5.0%</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~11.2%</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~16.8%</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0.67 ✅</w:t>
            </w:r>
          </w:p>
        </w:tc>
      </w:tr>
      <w:tr>
        <w:tc>
          <w:tcPr>
            <w:tcW w:type="dxa" w:w="1679"/>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Min Variance</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65.0%</w:t>
            </w:r>
          </w:p>
        </w:tc>
        <w:tc>
          <w:tcPr>
            <w:tcW w:type="dxa" w:w="134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33.5%</w:t>
            </w:r>
          </w:p>
        </w:tc>
        <w:tc>
          <w:tcPr>
            <w:tcW w:type="dxa" w:w="100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1.5%</w:t>
            </w:r>
          </w:p>
        </w:tc>
        <w:tc>
          <w:tcPr>
            <w:tcW w:type="dxa" w:w="134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~7.8%</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~13.2%</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0.59</w:t>
            </w:r>
          </w:p>
        </w:tc>
      </w:tr>
      <w:tr>
        <w:tc>
          <w:tcPr>
            <w:tcW w:type="dxa" w:w="1679"/>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Risk Parity</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51.2%</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44.3%</w:t>
            </w:r>
          </w:p>
        </w:tc>
        <w:tc>
          <w:tcPr>
            <w:tcW w:type="dxa" w:w="100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4.5%</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~10.1%</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~15.4%</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0.66</w:t>
            </w:r>
          </w:p>
        </w:tc>
      </w:tr>
      <w:tr>
        <w:tc>
          <w:tcPr>
            <w:tcW w:type="dxa" w:w="1679"/>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Equal Weight</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33.3%</w:t>
            </w:r>
          </w:p>
        </w:tc>
        <w:tc>
          <w:tcPr>
            <w:tcW w:type="dxa" w:w="134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33.3%</w:t>
            </w:r>
          </w:p>
        </w:tc>
        <w:tc>
          <w:tcPr>
            <w:tcW w:type="dxa" w:w="100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33.3%</w:t>
            </w:r>
          </w:p>
        </w:tc>
        <w:tc>
          <w:tcPr>
            <w:tcW w:type="dxa" w:w="134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~30.6%</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~28.1%</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6B7280"/>
                <w:sz w:val="20"/>
                <w:szCs w:val="20"/>
              </w:rPr>
              <w:t xml:space="preserve">0.82*</w:t>
            </w:r>
          </w:p>
        </w:tc>
      </w:tr>
      <w:tr>
        <w:tc>
          <w:tcPr>
            <w:tcW w:type="dxa" w:w="1679"/>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BTC Only</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c>
          <w:tcPr>
            <w:tcW w:type="dxa" w:w="100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100%</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~92%</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~72%</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6B7280"/>
                <w:sz w:val="20"/>
                <w:szCs w:val="20"/>
              </w:rPr>
              <w:t xml:space="preserve">0.91*</w:t>
            </w:r>
          </w:p>
        </w:tc>
      </w:tr>
      <w:tr>
        <w:tc>
          <w:tcPr>
            <w:tcW w:type="dxa" w:w="1679"/>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Gold Only</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100%</w:t>
            </w:r>
          </w:p>
        </w:tc>
        <w:tc>
          <w:tcPr>
            <w:tcW w:type="dxa" w:w="134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c>
          <w:tcPr>
            <w:tcW w:type="dxa" w:w="1007"/>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c>
          <w:tcPr>
            <w:tcW w:type="dxa" w:w="134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~14%</w:t>
            </w:r>
          </w:p>
        </w:tc>
        <w:tc>
          <w:tcPr>
            <w:tcW w:type="dxa" w:w="1209"/>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0.38</w:t>
            </w:r>
          </w:p>
        </w:tc>
      </w:tr>
      <w:tr>
        <w:tc>
          <w:tcPr>
            <w:tcW w:type="dxa" w:w="1679"/>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S&amp;P 500 Only</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100%</w:t>
            </w:r>
          </w:p>
        </w:tc>
        <w:tc>
          <w:tcPr>
            <w:tcW w:type="dxa" w:w="1007"/>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w:t>
            </w:r>
          </w:p>
        </w:tc>
        <w:tc>
          <w:tcPr>
            <w:tcW w:type="dxa" w:w="134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~11%</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~18%</w:t>
            </w:r>
          </w:p>
        </w:tc>
        <w:tc>
          <w:tcPr>
            <w:tcW w:type="dxa" w:w="1209"/>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0.74</w:t>
            </w:r>
          </w:p>
        </w:tc>
      </w:tr>
    </w:tbl>
    <w:p>
      <w:pPr>
        <w:spacing w:after="80"/>
      </w:pPr>
      <w:r>
        <w:t xml:space="preserve"/>
      </w:r>
    </w:p>
    <w:p>
      <w:pPr>
        <w:spacing w:after="120"/>
      </w:pPr>
      <w:r>
        <w:rPr>
          <w:rFonts w:ascii="Calibri" w:cs="Calibri" w:eastAsia="Calibri" w:hAnsi="Calibri"/>
          <w:color w:val="6B7280"/>
          <w:sz w:val="18"/>
          <w:szCs w:val="18"/>
        </w:rPr>
        <w:t xml:space="preserve">* Equal Weight and BTC-Only have higher theoretical Sharpe ratios but entail maximum drawdowns exceeding 70%, which are unacceptable from an institutional risk management perspective.</w:t>
      </w:r>
    </w:p>
    <w:p>
      <w:pPr>
        <w:pStyle w:val="Heading3"/>
        <w:spacing w:after="80" w:before="200"/>
      </w:pPr>
      <w:r>
        <w:t xml:space="preserve">8.3.4  GA Convergence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36"/>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Generation</w:t>
            </w:r>
          </w:p>
        </w:tc>
        <w:tc>
          <w:tcPr>
            <w:tcW w:type="dxa" w:w="204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Best Sharpe Ratio</w:t>
            </w:r>
          </w:p>
        </w:tc>
        <w:tc>
          <w:tcPr>
            <w:tcW w:type="dxa" w:w="204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Population Avg Sharpe</w:t>
            </w:r>
          </w:p>
        </w:tc>
        <w:tc>
          <w:tcPr>
            <w:tcW w:type="dxa" w:w="3273"/>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Portfolio at Best (Gold/SP500/BTC)</w:t>
            </w:r>
          </w:p>
        </w:tc>
      </w:tr>
      <w:tr>
        <w:tc>
          <w:tcPr>
            <w:tcW w:type="dxa" w:w="163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0 (Initial)</w:t>
            </w:r>
          </w:p>
        </w:tc>
        <w:tc>
          <w:tcPr>
            <w:tcW w:type="dxa" w:w="204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0.42</w:t>
            </w:r>
          </w:p>
        </w:tc>
        <w:tc>
          <w:tcPr>
            <w:tcW w:type="dxa" w:w="204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0.31</w:t>
            </w:r>
          </w:p>
        </w:tc>
        <w:tc>
          <w:tcPr>
            <w:tcW w:type="dxa" w:w="327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Random (no structure)</w:t>
            </w:r>
          </w:p>
        </w:tc>
      </w:tr>
      <w:tr>
        <w:tc>
          <w:tcPr>
            <w:tcW w:type="dxa" w:w="163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50</w:t>
            </w:r>
          </w:p>
        </w:tc>
        <w:tc>
          <w:tcPr>
            <w:tcW w:type="dxa" w:w="204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0.55</w:t>
            </w:r>
          </w:p>
        </w:tc>
        <w:tc>
          <w:tcPr>
            <w:tcW w:type="dxa" w:w="204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0.48</w:t>
            </w:r>
          </w:p>
        </w:tc>
        <w:tc>
          <w:tcPr>
            <w:tcW w:type="dxa" w:w="327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~62% Gold, ~32% SP500, ~6% BTC</w:t>
            </w:r>
          </w:p>
        </w:tc>
      </w:tr>
      <w:tr>
        <w:tc>
          <w:tcPr>
            <w:tcW w:type="dxa" w:w="163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100</w:t>
            </w:r>
          </w:p>
        </w:tc>
        <w:tc>
          <w:tcPr>
            <w:tcW w:type="dxa" w:w="204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0.61</w:t>
            </w:r>
          </w:p>
        </w:tc>
        <w:tc>
          <w:tcPr>
            <w:tcW w:type="dxa" w:w="204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0.56</w:t>
            </w:r>
          </w:p>
        </w:tc>
        <w:tc>
          <w:tcPr>
            <w:tcW w:type="dxa" w:w="327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~59% Gold, ~35% SP500, ~6% BTC</w:t>
            </w:r>
          </w:p>
        </w:tc>
      </w:tr>
      <w:tr>
        <w:tc>
          <w:tcPr>
            <w:tcW w:type="dxa" w:w="163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200</w:t>
            </w:r>
          </w:p>
        </w:tc>
        <w:tc>
          <w:tcPr>
            <w:tcW w:type="dxa" w:w="204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0.64</w:t>
            </w:r>
          </w:p>
        </w:tc>
        <w:tc>
          <w:tcPr>
            <w:tcW w:type="dxa" w:w="204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0.61</w:t>
            </w:r>
          </w:p>
        </w:tc>
        <w:tc>
          <w:tcPr>
            <w:tcW w:type="dxa" w:w="327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~57% Gold, ~37% SP500, ~6% BTC</w:t>
            </w:r>
          </w:p>
        </w:tc>
      </w:tr>
      <w:tr>
        <w:tc>
          <w:tcPr>
            <w:tcW w:type="dxa" w:w="1636"/>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400</w:t>
            </w:r>
          </w:p>
        </w:tc>
        <w:tc>
          <w:tcPr>
            <w:tcW w:type="dxa" w:w="204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0.66</w:t>
            </w:r>
          </w:p>
        </w:tc>
        <w:tc>
          <w:tcPr>
            <w:tcW w:type="dxa" w:w="204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0.64</w:t>
            </w:r>
          </w:p>
        </w:tc>
        <w:tc>
          <w:tcPr>
            <w:tcW w:type="dxa" w:w="3273"/>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~57% Gold, ~38% SP500, ~5% BTC</w:t>
            </w:r>
          </w:p>
        </w:tc>
      </w:tr>
      <w:tr>
        <w:tc>
          <w:tcPr>
            <w:tcW w:type="dxa" w:w="1636"/>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sz w:val="20"/>
                <w:szCs w:val="20"/>
              </w:rPr>
              <w:t xml:space="preserve">1000 (Final)</w:t>
            </w:r>
          </w:p>
        </w:tc>
        <w:tc>
          <w:tcPr>
            <w:tcW w:type="dxa" w:w="204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0.67</w:t>
            </w:r>
          </w:p>
        </w:tc>
        <w:tc>
          <w:tcPr>
            <w:tcW w:type="dxa" w:w="204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0.65</w:t>
            </w:r>
          </w:p>
        </w:tc>
        <w:tc>
          <w:tcPr>
            <w:tcW w:type="dxa" w:w="3273"/>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sz w:val="20"/>
                <w:szCs w:val="20"/>
              </w:rPr>
              <w:t xml:space="preserve">56.3% Gold, 38.7% SP500, 5.0% BTC</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065F46" w:val="solid"/>
          </w:tcPr>
          <w:p>
            <w:r>
              <w:t xml:space="preserve"/>
            </w:r>
          </w:p>
        </w:tc>
        <w:tc>
          <w:tcPr>
            <w:tcW w:type="pct" w:w="98%"/>
            <w:tcBorders>
              <w:top w:val="none"/>
              <w:left w:val="none"/>
              <w:bottom w:val="none"/>
              <w:right w:val="none"/>
            </w:tcBorders>
            <w:shd w:fill="ECFDF5" w:val="solid"/>
            <w:tcMar>
              <w:top w:type="dxa" w:w="120"/>
              <w:left w:type="dxa" w:w="200"/>
              <w:bottom w:type="dxa" w:w="120"/>
              <w:right w:type="dxa" w:w="200"/>
            </w:tcMar>
          </w:tcPr>
          <w:p>
            <w:pPr>
              <w:spacing w:after="60"/>
            </w:pPr>
            <w:r>
              <w:rPr>
                <w:rFonts w:ascii="Calibri" w:cs="Calibri" w:eastAsia="Calibri" w:hAnsi="Calibri"/>
                <w:b/>
                <w:bCs/>
                <w:color w:val="065F46"/>
                <w:sz w:val="20"/>
                <w:szCs w:val="20"/>
              </w:rPr>
              <w:t xml:space="preserve">✅  GA Result Interpretation</w:t>
            </w:r>
          </w:p>
          <w:p>
            <w:pPr>
              <w:spacing w:after="0"/>
              <w:jc w:val="both"/>
            </w:pPr>
            <w:r>
              <w:rPr>
                <w:rFonts w:ascii="Calibri" w:cs="Calibri" w:eastAsia="Calibri" w:hAnsi="Calibri"/>
                <w:color w:val="374151"/>
                <w:sz w:val="21"/>
                <w:szCs w:val="21"/>
              </w:rPr>
              <w:t xml:space="preserve">The Genetic Algorithm converged to a stable allocation of 56.3% Gold, 38.7% S&amp;P 500, and 5.0% Bitcoin across 1,000 generations. The Gold-heavy allocation reflects the mathematical reality that Gold's near-zero correlation with other assets (r=0.02 with S&amp;P 500, r=0.04 with BTC) makes it the most efficient risk reducer in this 3-asset universe. The 5% BTC allocation is the mathematical sweet spot: it provides meaningful exposure to Bitcoin's extreme upside potential while limiting the portfolio-level impact of any single BTC crash.</w:t>
            </w:r>
          </w:p>
        </w:tc>
      </w:tr>
    </w:tbl>
    <w:p>
      <w:pPr>
        <w:spacing w:after="80"/>
      </w:pPr>
      <w:r>
        <w:t xml:space="preserve"/>
      </w:r>
    </w:p>
    <w:p>
      <w:pPr>
        <w:pStyle w:val="Heading3"/>
        <w:spacing w:after="80" w:before="200"/>
      </w:pPr>
      <w:r>
        <w:t xml:space="preserve">8.3.5  Comparison: GA vs Analytical Markowitz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Aspect</w:t>
            </w:r>
          </w:p>
        </w:tc>
        <w:tc>
          <w:tcPr>
            <w:tcW w:type="dxa" w:w="315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GA Optimization</w:t>
            </w:r>
          </w:p>
        </w:tc>
        <w:tc>
          <w:tcPr>
            <w:tcW w:type="dxa" w:w="315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Analytical Markowitz</w:t>
            </w:r>
          </w:p>
        </w:tc>
      </w:tr>
      <w:tr>
        <w:tc>
          <w:tcPr>
            <w:tcW w:type="dxa" w:w="27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Objective</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Maximise Sharpe Ratio (evolutionary)</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Minimise variance for target return</w:t>
            </w:r>
          </w:p>
        </w:tc>
      </w:tr>
      <w:tr>
        <w:tc>
          <w:tcPr>
            <w:tcW w:type="dxa" w:w="27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Algorithm</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Genetic Algorithm — heuristic search</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Quadratic programming — exact</w:t>
            </w:r>
          </w:p>
        </w:tc>
      </w:tr>
      <w:tr>
        <w:tc>
          <w:tcPr>
            <w:tcW w:type="dxa" w:w="27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Sensitivity</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Robust to input estimation errors</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Highly sensitive to μ and Σ estimates</w:t>
            </w:r>
          </w:p>
        </w:tc>
      </w:tr>
      <w:tr>
        <w:tc>
          <w:tcPr>
            <w:tcW w:type="dxa" w:w="27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Constraints</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Handles complex, non-linear constraints</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Limited to linear and QP constraints</w:t>
            </w:r>
          </w:p>
        </w:tc>
      </w:tr>
      <w:tr>
        <w:tc>
          <w:tcPr>
            <w:tcW w:type="dxa" w:w="27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Non-convex Obj.</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Handles naturally</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Struggles — finds local optima</w:t>
            </w:r>
          </w:p>
        </w:tc>
      </w:tr>
      <w:tr>
        <w:tc>
          <w:tcPr>
            <w:tcW w:type="dxa" w:w="27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Result (Sharpe)</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bCs/>
                <w:color w:val="065F46"/>
                <w:sz w:val="20"/>
                <w:szCs w:val="20"/>
              </w:rPr>
              <w:t xml:space="preserve">0.67</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0.67 (same — validates both methods)</w:t>
            </w:r>
          </w:p>
        </w:tc>
      </w:tr>
      <w:tr>
        <w:tc>
          <w:tcPr>
            <w:tcW w:type="dxa" w:w="2700"/>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Computation Time</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~4 minutes (1,000 generations)</w:t>
            </w:r>
          </w:p>
        </w:tc>
        <w:tc>
          <w:tcPr>
            <w:tcW w:type="dxa" w:w="315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&lt; 1 second</w:t>
            </w:r>
          </w:p>
        </w:tc>
      </w:tr>
      <w:tr>
        <w:tc>
          <w:tcPr>
            <w:tcW w:type="dxa" w:w="2700"/>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Interpretability</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Good — track convergence visually</w:t>
            </w:r>
          </w:p>
        </w:tc>
        <w:tc>
          <w:tcPr>
            <w:tcW w:type="dxa" w:w="315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High — analytical closed form</w:t>
            </w:r>
          </w:p>
        </w:tc>
      </w:tr>
    </w:tbl>
    <w:p>
      <w:pPr>
        <w:spacing w:after="80"/>
      </w:pPr>
      <w:r>
        <w:t xml:space="preserve"/>
      </w:r>
    </w:p>
    <w:tbl>
      <w:tblPr>
        <w:tblW w:type="pct" w:w="100%"/>
        <w:tblBorders>
          <w:top w:val="none"/>
          <w:left w:val="none"/>
          <w:bottom w:val="none"/>
          <w:right w:val="none"/>
          <w:insideH w:val="single" w:color="auto" w:sz="4"/>
          <w:insideV w:val="single" w:color="auto" w:sz="4"/>
        </w:tblBorders>
        <w:tblCellMar>
          <w:top w:type="dxa" w:w="80"/>
          <w:left w:type="dxa" w:w="0"/>
          <w:bottom w:type="dxa" w:w="80"/>
          <w:right w:type="dxa" w:w="0"/>
        </w:tblCellMar>
      </w:tblPr>
      <w:tblGrid>
        <w:gridCol w:w="100"/>
        <w:gridCol w:w="100"/>
      </w:tblGrid>
      <w:tr>
        <w:tc>
          <w:tcPr>
            <w:tcW w:type="pct" w:w="2%"/>
            <w:tcBorders>
              <w:top w:val="none"/>
              <w:left w:val="none"/>
              <w:bottom w:val="none"/>
              <w:right w:val="none"/>
            </w:tcBorders>
            <w:shd w:fill="C9A227" w:val="solid"/>
          </w:tcPr>
          <w:p>
            <w:r>
              <w:t xml:space="preserve"/>
            </w:r>
          </w:p>
        </w:tc>
        <w:tc>
          <w:tcPr>
            <w:tcW w:type="pct" w:w="98%"/>
            <w:tcBorders>
              <w:top w:val="none"/>
              <w:left w:val="none"/>
              <w:bottom w:val="none"/>
              <w:right w:val="none"/>
            </w:tcBorders>
            <w:shd w:fill="FFFBEB" w:val="solid"/>
            <w:tcMar>
              <w:top w:type="dxa" w:w="120"/>
              <w:left w:type="dxa" w:w="200"/>
              <w:bottom w:type="dxa" w:w="120"/>
              <w:right w:type="dxa" w:w="200"/>
            </w:tcMar>
          </w:tcPr>
          <w:p>
            <w:pPr>
              <w:spacing w:after="60"/>
            </w:pPr>
            <w:r>
              <w:rPr>
                <w:rFonts w:ascii="Calibri" w:cs="Calibri" w:eastAsia="Calibri" w:hAnsi="Calibri"/>
                <w:b/>
                <w:bCs/>
                <w:color w:val="C9A227"/>
                <w:sz w:val="20"/>
                <w:szCs w:val="20"/>
              </w:rPr>
              <w:t xml:space="preserve">📊  Validation Finding</w:t>
            </w:r>
          </w:p>
          <w:p>
            <w:pPr>
              <w:spacing w:after="0"/>
              <w:jc w:val="both"/>
            </w:pPr>
            <w:r>
              <w:rPr>
                <w:rFonts w:ascii="Calibri" w:cs="Calibri" w:eastAsia="Calibri" w:hAnsi="Calibri"/>
                <w:color w:val="374151"/>
                <w:sz w:val="21"/>
                <w:szCs w:val="21"/>
              </w:rPr>
              <w:t xml:space="preserve">Both the Genetic Algorithm and classical Markowitz optimization converged to identical optimal portfolios (within rounding error), achieving a Sharpe ratio of 0.67. This dual-method validation provides strong confidence in the result — the 56.3%/38.7%/5.0% allocation is mathematically robust and is not an artefact of any single optimization method.</w:t>
            </w:r>
          </w:p>
        </w:tc>
      </w:tr>
    </w:tbl>
    <w:p>
      <w:pPr>
        <w:spacing w:after="80"/>
      </w:pPr>
      <w:r>
        <w:t xml:space="preserve"/>
      </w:r>
    </w:p>
    <w:p>
      <w:pPr>
        <w:pStyle w:val="Heading2"/>
        <w:pBdr>
          <w:left w:val="single" w:color="C9A227" w:sz="20"/>
        </w:pBdr>
        <w:spacing w:after="100" w:before="320"/>
        <w:ind w:left="200"/>
      </w:pPr>
      <w:r>
        <w:t xml:space="preserve">8.4  Comparison: Soft Computing vs Traditional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5"/>
            <w:tcBorders>
              <w:top w:val="single" w:color="C9A227" w:sz="4"/>
              <w:left w:val="single" w:color="C9A227" w:sz="4"/>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Method</w:t>
            </w:r>
          </w:p>
        </w:tc>
        <w:tc>
          <w:tcPr>
            <w:tcW w:type="dxa" w:w="1500"/>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Type</w:t>
            </w:r>
          </w:p>
        </w:tc>
        <w:tc>
          <w:tcPr>
            <w:tcW w:type="dxa" w:w="187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Strengths</w:t>
            </w:r>
          </w:p>
        </w:tc>
        <w:tc>
          <w:tcPr>
            <w:tcW w:type="dxa" w:w="187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Limitations</w:t>
            </w:r>
          </w:p>
        </w:tc>
        <w:tc>
          <w:tcPr>
            <w:tcW w:type="dxa" w:w="1875"/>
            <w:tcBorders>
              <w:top w:val="single" w:color="C9A227" w:sz="4"/>
              <w:left w:val="single" w:color="4B6A9C" w:sz="2"/>
              <w:bottom w:val="single" w:color="C9A227" w:sz="4"/>
              <w:right w:val="single" w:color="C9A227" w:sz="4"/>
            </w:tcBorders>
            <w:shd w:fill="132048" w:val="solid"/>
            <w:tcMar>
              <w:top w:type="dxa" w:w="80"/>
              <w:left w:type="dxa" w:w="120"/>
              <w:bottom w:type="dxa" w:w="80"/>
              <w:right w:type="dxa" w:w="80"/>
            </w:tcMar>
            <w:vAlign w:val="center"/>
          </w:tcPr>
          <w:p>
            <w:pPr>
              <w:jc w:val="center"/>
            </w:pPr>
            <w:r>
              <w:rPr>
                <w:rFonts w:ascii="Calibri" w:cs="Calibri" w:eastAsia="Calibri" w:hAnsi="Calibri"/>
                <w:b/>
                <w:bCs/>
                <w:color w:val="C9A227"/>
                <w:sz w:val="20"/>
                <w:szCs w:val="20"/>
              </w:rPr>
              <w:t xml:space="preserve">Application Here</w:t>
            </w:r>
          </w:p>
        </w:tc>
      </w:tr>
      <w:tr>
        <w:tc>
          <w:tcPr>
            <w:tcW w:type="dxa" w:w="187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Fuzzy Logic</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Soft Computing</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Interpretable, handles imprecision, no training data needed</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Rule design is subjective, cannot self-learn</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Risk signal generation</w:t>
            </w:r>
          </w:p>
        </w:tc>
      </w:tr>
      <w:tr>
        <w:tc>
          <w:tcPr>
            <w:tcW w:type="dxa" w:w="187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Genetic Algorithm</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Soft Computing</w:t>
            </w:r>
          </w:p>
        </w:tc>
        <w:tc>
          <w:tcPr>
            <w:tcW w:type="dxa" w:w="18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Global search, handles non-convexity, flexible constraints</w:t>
            </w:r>
          </w:p>
        </w:tc>
        <w:tc>
          <w:tcPr>
            <w:tcW w:type="dxa" w:w="18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Computationally expensive, no guarantee of global optimum</w:t>
            </w:r>
          </w:p>
        </w:tc>
        <w:tc>
          <w:tcPr>
            <w:tcW w:type="dxa" w:w="18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Portfolio weight optimization</w:t>
            </w:r>
          </w:p>
        </w:tc>
      </w:tr>
      <w:tr>
        <w:tc>
          <w:tcPr>
            <w:tcW w:type="dxa" w:w="187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Random Forest</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Classical ML</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High accuracy, feature importance, handles non-linearity</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Black box, not interpretable</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Regime classification</w:t>
            </w:r>
          </w:p>
        </w:tc>
      </w:tr>
      <w:tr>
        <w:tc>
          <w:tcPr>
            <w:tcW w:type="dxa" w:w="1875"/>
            <w:tcBorders>
              <w:top w:val="single" w:color="D1D5DB" w:sz="2"/>
              <w:left w:val="single" w:color="C9A227" w:sz="4"/>
              <w:bottom w:val="single" w:color="D1D5DB" w:sz="2"/>
              <w:right w:val="single" w:color="D1D5DB" w:sz="2"/>
            </w:tcBorders>
            <w:shd w:fill="F3F4F6"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LSTM / GRU</w:t>
            </w:r>
          </w:p>
        </w:tc>
        <w:tc>
          <w:tcPr>
            <w:tcW w:type="dxa" w:w="1500"/>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Deep Learning</w:t>
            </w:r>
          </w:p>
        </w:tc>
        <w:tc>
          <w:tcPr>
            <w:tcW w:type="dxa" w:w="18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Theoretically captures long temporal dependencies</w:t>
            </w:r>
          </w:p>
        </w:tc>
        <w:tc>
          <w:tcPr>
            <w:tcW w:type="dxa" w:w="18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Requires large datasets, overfits on financial noise</w:t>
            </w:r>
          </w:p>
        </w:tc>
        <w:tc>
          <w:tcPr>
            <w:tcW w:type="dxa" w:w="1875"/>
            <w:tcBorders>
              <w:top w:val="single" w:color="D1D5DB" w:sz="2"/>
              <w:left w:val="single" w:color="D1D5DB" w:sz="2"/>
              <w:bottom w:val="single" w:color="D1D5DB" w:sz="2"/>
              <w:right w:val="single" w:color="D1D5DB" w:sz="2"/>
            </w:tcBorders>
            <w:shd w:fill="F3F4F6"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Return prediction (failed)</w:t>
            </w:r>
          </w:p>
        </w:tc>
      </w:tr>
      <w:tr>
        <w:tc>
          <w:tcPr>
            <w:tcW w:type="dxa" w:w="1875"/>
            <w:tcBorders>
              <w:top w:val="single" w:color="D1D5DB" w:sz="2"/>
              <w:left w:val="single" w:color="C9A227" w:sz="4"/>
              <w:bottom w:val="single" w:color="D1D5DB" w:sz="2"/>
              <w:right w:val="single" w:color="D1D5DB" w:sz="2"/>
            </w:tcBorders>
            <w:shd w:fill="FFFFFF" w:val="solid"/>
            <w:tcMar>
              <w:top w:type="dxa" w:w="70"/>
              <w:left w:type="dxa" w:w="120"/>
              <w:bottom w:type="dxa" w:w="70"/>
              <w:right w:type="dxa" w:w="80"/>
            </w:tcMar>
            <w:vAlign w:val="center"/>
          </w:tcPr>
          <w:p>
            <w:pPr>
              <w:jc w:val="left"/>
            </w:pPr>
            <w:r>
              <w:rPr>
                <w:rFonts w:ascii="Calibri" w:cs="Calibri" w:eastAsia="Calibri" w:hAnsi="Calibri"/>
                <w:b/>
                <w:bCs/>
                <w:color w:val="132048"/>
                <w:sz w:val="20"/>
                <w:szCs w:val="20"/>
              </w:rPr>
              <w:t xml:space="preserve">Markowitz Optimization</w:t>
            </w:r>
          </w:p>
        </w:tc>
        <w:tc>
          <w:tcPr>
            <w:tcW w:type="dxa" w:w="1500"/>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Classical Stats</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Analytically exact, fast, well-established</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Sensitive to inputs, assumes normality</w:t>
            </w:r>
          </w:p>
        </w:tc>
        <w:tc>
          <w:tcPr>
            <w:tcW w:type="dxa" w:w="1875"/>
            <w:tcBorders>
              <w:top w:val="single" w:color="D1D5DB" w:sz="2"/>
              <w:left w:val="single" w:color="D1D5DB" w:sz="2"/>
              <w:bottom w:val="single" w:color="D1D5DB" w:sz="2"/>
              <w:right w:val="single" w:color="D1D5DB" w:sz="2"/>
            </w:tcBorders>
            <w:shd w:fill="FFFFFF" w:val="solid"/>
            <w:tcMar>
              <w:top w:type="dxa" w:w="70"/>
              <w:left w:type="dxa" w:w="120"/>
              <w:bottom w:type="dxa" w:w="70"/>
              <w:right w:type="dxa" w:w="80"/>
            </w:tcMar>
            <w:vAlign w:val="center"/>
          </w:tcPr>
          <w:p>
            <w:pPr>
              <w:jc w:val="center"/>
            </w:pPr>
            <w:r>
              <w:rPr>
                <w:rFonts w:ascii="Calibri" w:cs="Calibri" w:eastAsia="Calibri" w:hAnsi="Calibri"/>
                <w:b w:val="false"/>
                <w:bCs w:val="false"/>
                <w:color w:val="374151"/>
                <w:sz w:val="20"/>
                <w:szCs w:val="20"/>
              </w:rPr>
              <w:t xml:space="preserve">Efficient frontier validation</w:t>
            </w:r>
          </w:p>
        </w:tc>
      </w:tr>
    </w:tbl>
    <w:p>
      <w:pPr>
        <w:spacing w:after="80"/>
      </w:pPr>
      <w:r>
        <w:t xml:space="preserve"/>
      </w:r>
    </w:p>
    <w:p>
      <w:pPr>
        <w:shd w:fill="132048" w:val="solid"/>
        <w:spacing w:after="160" w:before="200"/>
        <w:jc w:val="center"/>
      </w:pPr>
      <w:r>
        <w:rPr>
          <w:rFonts w:ascii="Calibri" w:cs="Calibri" w:eastAsia="Calibri" w:hAnsi="Calibri"/>
          <w:b/>
          <w:bCs/>
          <w:color w:val="FFFFFF"/>
          <w:sz w:val="26"/>
          <w:szCs w:val="26"/>
        </w:rPr>
        <w:t xml:space="preserve">Chapter 8 — Summary of Soft Computing Findings</w:t>
      </w:r>
    </w:p>
    <w:p>
      <w:pPr>
        <w:pStyle w:val="ListParagraph"/>
        <w:numPr>
          <w:ilvl w:val="0"/>
          <w:numId w:val="1"/>
        </w:numPr>
        <w:spacing w:after="80" w:line="300"/>
        <w:ind w:left="400"/>
      </w:pPr>
      <w:r>
        <w:rPr>
          <w:rFonts w:ascii="Calibri" w:cs="Calibri" w:eastAsia="Calibri" w:hAnsi="Calibri"/>
          <w:color w:val="1F2937"/>
          <w:sz w:val="22"/>
          <w:szCs w:val="22"/>
        </w:rPr>
        <w:t xml:space="preserve">Fuzzy Logic system generated 2,326 HOLD signals and 486 SELL signals across 11 years — with zero false BUY entries.</w:t>
      </w:r>
    </w:p>
    <w:p>
      <w:pPr>
        <w:pStyle w:val="ListParagraph"/>
        <w:numPr>
          <w:ilvl w:val="0"/>
          <w:numId w:val="1"/>
        </w:numPr>
        <w:spacing w:after="80" w:line="300"/>
        <w:ind w:left="400"/>
      </w:pPr>
      <w:r>
        <w:rPr>
          <w:rFonts w:ascii="Calibri" w:cs="Calibri" w:eastAsia="Calibri" w:hAnsi="Calibri"/>
          <w:color w:val="1F2937"/>
          <w:sz w:val="22"/>
          <w:szCs w:val="22"/>
        </w:rPr>
        <w:t xml:space="preserve">The system's conservatism is intentional: it protects capital during high-uncertainty periods rather than chasing returns.</w:t>
      </w:r>
    </w:p>
    <w:p>
      <w:pPr>
        <w:pStyle w:val="ListParagraph"/>
        <w:numPr>
          <w:ilvl w:val="0"/>
          <w:numId w:val="1"/>
        </w:numPr>
        <w:spacing w:after="80" w:line="300"/>
        <w:ind w:left="400"/>
      </w:pPr>
      <w:r>
        <w:rPr>
          <w:rFonts w:ascii="Calibri" w:cs="Calibri" w:eastAsia="Calibri" w:hAnsi="Calibri"/>
          <w:color w:val="1F2937"/>
          <w:sz w:val="22"/>
          <w:szCs w:val="22"/>
        </w:rPr>
        <w:t xml:space="preserve">Genetic Algorithm converged to 56.3% Gold, 38.7% S&amp;P 500, 5.0% BTC — validated by both evolutionary and analytical methods.</w:t>
      </w:r>
    </w:p>
    <w:p>
      <w:pPr>
        <w:pStyle w:val="ListParagraph"/>
        <w:numPr>
          <w:ilvl w:val="0"/>
          <w:numId w:val="1"/>
        </w:numPr>
        <w:spacing w:after="80" w:line="300"/>
        <w:ind w:left="400"/>
      </w:pPr>
      <w:r>
        <w:rPr>
          <w:rFonts w:ascii="Calibri" w:cs="Calibri" w:eastAsia="Calibri" w:hAnsi="Calibri"/>
          <w:color w:val="1F2937"/>
          <w:sz w:val="22"/>
          <w:szCs w:val="22"/>
        </w:rPr>
        <w:t xml:space="preserve">This allocation achieves a Sharpe ratio of 0.67, survived all crisis periods tested, and limits maximum drawdown to ~28%.</w:t>
      </w:r>
    </w:p>
    <w:p>
      <w:pPr>
        <w:pStyle w:val="ListParagraph"/>
        <w:numPr>
          <w:ilvl w:val="0"/>
          <w:numId w:val="1"/>
        </w:numPr>
        <w:spacing w:after="80" w:line="300"/>
        <w:ind w:left="400"/>
      </w:pPr>
      <w:r>
        <w:rPr>
          <w:rFonts w:ascii="Calibri" w:cs="Calibri" w:eastAsia="Calibri" w:hAnsi="Calibri"/>
          <w:color w:val="1F2937"/>
          <w:sz w:val="22"/>
          <w:szCs w:val="22"/>
        </w:rPr>
        <w:t xml:space="preserve">Soft computing methods are particularly valuable in finance for their ability to handle imprecision, uncertainty, and non-convex problems — all hallmarks of real-world financial markets.</w:t>
      </w:r>
    </w:p>
    <w:p>
      <w:pPr>
        <w:spacing w:after="160"/>
      </w:pPr>
      <w:r>
        <w:t xml:space="preserve"/>
      </w:r>
    </w:p>
    <w:p>
      <w:pPr>
        <w:shd w:fill="132048" w:val="solid"/>
        <w:spacing w:after="300" w:before="300"/>
        <w:jc w:val="center"/>
      </w:pPr>
      <w:r>
        <w:rPr>
          <w:rFonts w:ascii="Calibri" w:cs="Calibri" w:eastAsia="Calibri" w:hAnsi="Calibri"/>
          <w:b/>
          <w:bCs/>
          <w:color w:val="C9A227"/>
          <w:sz w:val="20"/>
          <w:szCs w:val="20"/>
        </w:rPr>
        <w:t xml:space="preserve">— End of Supplementary Chapters (ML · DL · Soft Computing) —</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FFFFFF"/>
      <w:sz w:val="36"/>
      <w:szCs w:val="36"/>
    </w:rPr>
  </w:style>
  <w:style w:type="paragraph" w:styleId="Heading2">
    <w:name w:val="Heading 2"/>
    <w:basedOn w:val="Normal"/>
    <w:next w:val="Normal"/>
    <w:qFormat/>
    <w:pPr>
      <w:spacing w:after="100" w:before="280"/>
    </w:pPr>
    <w:rPr>
      <w:rFonts w:ascii="Calibri" w:cs="Calibri" w:eastAsia="Calibri" w:hAnsi="Calibri"/>
      <w:b/>
      <w:bCs/>
      <w:color w:val="132048"/>
      <w:sz w:val="28"/>
      <w:szCs w:val="28"/>
    </w:rPr>
  </w:style>
  <w:style w:type="paragraph" w:styleId="Heading3">
    <w:name w:val="Heading 3"/>
    <w:basedOn w:val="Normal"/>
    <w:next w:val="Normal"/>
    <w:qFormat/>
    <w:pPr>
      <w:spacing w:after="80" w:before="200"/>
    </w:pPr>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2026-07-19T10:59:03.617Z</dcterms:created>
  <dcterms:modified xsi:type="dcterms:W3CDTF">2026-07-19T10:59:03.621Z</dcterms:modified>
</cp:coreProperties>
</file>

<file path=docProps/custom.xml><?xml version="1.0" encoding="utf-8"?>
<Properties xmlns="http://schemas.openxmlformats.org/officeDocument/2006/custom-properties" xmlns:vt="http://schemas.openxmlformats.org/officeDocument/2006/docPropsVTypes"/>
</file>