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Block 1 – Project Setup Technical Specification v1</w:t>
      </w:r>
    </w:p>
    <w:p>
      <w:r>
        <w:t>Настоящий документ описывает архитектуру и реализацию первого блока программы проекта «Мозаика». Блок 1 представляет собой создание и настройку базовой архитектуры приложения, включая микросервисную структуру, окружение Docker, подключение MongoDB и организацию тестовой среды.</w:t>
      </w:r>
    </w:p>
    <w:p>
      <w:pPr>
        <w:pStyle w:val="Heading2"/>
      </w:pPr>
      <w:r>
        <w:t>1. Цели блока</w:t>
      </w:r>
    </w:p>
    <w:p>
      <w:r>
        <w:t>Основная цель Блока 1 – создание архитектуры проекта и среды для дальнейшей разработки всех модулей. Блок обеспечивает:</w:t>
        <w:br/>
        <w:t>• Подъём микросервисов в контейнерах через Docker Compose.</w:t>
        <w:br/>
        <w:t>• Возможность локального тестирования каждого микросервиса.</w:t>
        <w:br/>
        <w:t>• Центральное хранилище данных (MongoDB).</w:t>
        <w:br/>
        <w:t>• Единый формат обмена данными между сервисами (JSON).</w:t>
        <w:br/>
        <w:t>• Базовые точки здоровья (/health) и тестовые эндпоинты (/echo).</w:t>
        <w:br/>
        <w:t>• Структуру папок для тестирования и ведения логов.</w:t>
      </w:r>
    </w:p>
    <w:p>
      <w:pPr>
        <w:pStyle w:val="Heading2"/>
      </w:pPr>
      <w:r>
        <w:t>2. Архитектура проекта</w:t>
      </w:r>
    </w:p>
    <w:p>
      <w:r>
        <w:t>Архитектура построена на микросервисной модели. Каждый сервис является отдельным контейнером с изолированной логикой и API. Взаимодействие осуществляется по HTTP (REST) с передачей данных в JSON-формате.</w:t>
      </w:r>
    </w:p>
    <w:p>
      <w:pPr>
        <w:pStyle w:val="Heading3"/>
      </w:pPr>
      <w:r>
        <w:t>Структура проекта</w:t>
      </w:r>
    </w:p>
    <w:p>
      <w:r>
        <w:t>/project-root/</w:t>
        <w:br/>
        <w:t>├── docker-compose.yml</w:t>
        <w:br/>
        <w:t>├── services/</w:t>
        <w:br/>
        <w:t>│   ├── image-loader/</w:t>
        <w:br/>
        <w:t>│   ├── scaler/</w:t>
        <w:br/>
        <w:t>│   ├── color-cluster/</w:t>
        <w:br/>
        <w:t>│   ├── cell-mapper/</w:t>
        <w:br/>
        <w:t>│   └── cnc-exporter/</w:t>
        <w:br/>
        <w:t>├── tests/</w:t>
        <w:br/>
        <w:t>│   ├── image-loader/</w:t>
        <w:br/>
        <w:t>│   ├── scaler/</w:t>
        <w:br/>
        <w:t>│   ├── color-cluster/</w:t>
        <w:br/>
        <w:t>│   ├── cell-mapper/</w:t>
        <w:br/>
        <w:t>│   └── cnc-exporter/</w:t>
        <w:br/>
        <w:t>└── README.md</w:t>
      </w:r>
    </w:p>
    <w:p>
      <w:pPr>
        <w:pStyle w:val="Heading2"/>
      </w:pPr>
      <w:r>
        <w:t>3. Docker Compose</w:t>
      </w:r>
    </w:p>
    <w:p>
      <w:r>
        <w:t>Docker Compose-файл описывает все контейнеры и их параметры. Каждый микросервис имеет собственный порт и набор переменных окружения. MongoDB используется как общий сервис для хранения данных.</w:t>
        <w:br/>
        <w:br/>
        <w:t>Пример:</w:t>
        <w:br/>
        <w:t>- image-loader (порт 3001)</w:t>
        <w:br/>
        <w:t>- scaler (порт 3002)</w:t>
        <w:br/>
        <w:t>- color-cluster (порт 3003)</w:t>
        <w:br/>
        <w:t>- cell-mapper (порт 3004)</w:t>
        <w:br/>
        <w:t>- cnc-exporter (порт 3005)</w:t>
        <w:br/>
        <w:t>- mongo (порт 27017, volume mongo_data)</w:t>
        <w:br/>
        <w:br/>
        <w:t>Сервисы автоматически поднимаются командой:</w:t>
        <w:br/>
        <w:t>docker compose up --build</w:t>
      </w:r>
    </w:p>
    <w:p>
      <w:pPr>
        <w:pStyle w:val="Heading2"/>
      </w:pPr>
      <w:r>
        <w:t>4. Логика микросервисов</w:t>
      </w:r>
    </w:p>
    <w:p>
      <w:pPr>
        <w:pStyle w:val="Heading3"/>
      </w:pPr>
      <w:r>
        <w:t>image-loader</w:t>
      </w:r>
    </w:p>
    <w:p>
      <w:r>
        <w:t>Загрузка изображений, конвертация в base64 и подготовка к дальнейшей обработке.</w:t>
      </w:r>
    </w:p>
    <w:p>
      <w:pPr>
        <w:pStyle w:val="Heading3"/>
      </w:pPr>
      <w:r>
        <w:t>scaler</w:t>
      </w:r>
    </w:p>
    <w:p>
      <w:r>
        <w:t>Масштабирование изображения под размеры полотна мозаики.</w:t>
      </w:r>
    </w:p>
    <w:p>
      <w:pPr>
        <w:pStyle w:val="Heading3"/>
      </w:pPr>
      <w:r>
        <w:t>color-cluster</w:t>
      </w:r>
    </w:p>
    <w:p>
      <w:r>
        <w:t>Кластеризация по цветам, выделение цветовых пятен.</w:t>
      </w:r>
    </w:p>
    <w:p>
      <w:pPr>
        <w:pStyle w:val="Heading3"/>
      </w:pPr>
      <w:r>
        <w:t>cell-mapper</w:t>
      </w:r>
    </w:p>
    <w:p>
      <w:r>
        <w:t>Построение сетки ячеек, расчёт линий разреза и мест крепления.</w:t>
      </w:r>
    </w:p>
    <w:p>
      <w:pPr>
        <w:pStyle w:val="Heading3"/>
      </w:pPr>
      <w:r>
        <w:t>cnc-exporter</w:t>
      </w:r>
    </w:p>
    <w:p>
      <w:r>
        <w:t>Формирование CNC-данных (DXF/JSON → G-code).</w:t>
      </w:r>
    </w:p>
    <w:p>
      <w:pPr>
        <w:pStyle w:val="Heading2"/>
      </w:pPr>
      <w:r>
        <w:t>5. Формат взаимодействия между микросервисами</w:t>
      </w:r>
    </w:p>
    <w:p>
      <w:r>
        <w:t>Передача данных между микросервисами осуществляется в формате JSON. Общая структура сообщения:</w:t>
        <w:br/>
        <w:br/>
        <w:t>{</w:t>
        <w:br/>
        <w:t xml:space="preserve">  "input": "JPEG",</w:t>
        <w:br/>
        <w:t xml:space="preserve">  "output": "JSON/DXF",</w:t>
        <w:br/>
        <w:t xml:space="preserve">  "next_service": "color-cluster"</w:t>
        <w:br/>
        <w:t>}</w:t>
        <w:br/>
        <w:br/>
        <w:t>Каждый сервис принимает данные через POST-запрос, обрабатывает их и передаёт результат следующему модулю.</w:t>
      </w:r>
    </w:p>
    <w:p>
      <w:pPr>
        <w:pStyle w:val="Heading2"/>
      </w:pPr>
      <w:r>
        <w:t>6. Тестирование</w:t>
      </w:r>
    </w:p>
    <w:p>
      <w:r>
        <w:t>Для всех микросервисов создана единая структура каталога /tests, включающая подпапки:</w:t>
        <w:br/>
        <w:t>- INPUTS.md — описание входных данных;</w:t>
        <w:br/>
        <w:t>- LOG.md — записи логов и параметров тестов;</w:t>
        <w:br/>
        <w:t>- RESULTS.md — результаты тестов (JSON, скриншоты и т.п.).</w:t>
        <w:br/>
        <w:br/>
        <w:t>Каждый сервис имеет эндпоинт /health для проверки работоспособности и /echo для быстрой диагностики передачи данных.</w:t>
      </w:r>
    </w:p>
    <w:p>
      <w:pPr>
        <w:pStyle w:val="Heading2"/>
      </w:pPr>
      <w:r>
        <w:t>7. Настройки окружения</w:t>
      </w:r>
    </w:p>
    <w:p>
      <w:r>
        <w:t>Проект поддерживает два режима:</w:t>
        <w:br/>
        <w:t>• Локальный (на ноутбуке разработчика).</w:t>
        <w:br/>
        <w:t>• Серверный (на хостинге fornex.com).</w:t>
        <w:br/>
        <w:br/>
        <w:t>Подключение MongoDB задаётся через переменную MONGO_URL (например, mongodb://mongo:27017/mosaic).</w:t>
      </w:r>
    </w:p>
    <w:p>
      <w:pPr>
        <w:pStyle w:val="Heading2"/>
      </w:pPr>
      <w:r>
        <w:t>8. Итог</w:t>
      </w:r>
    </w:p>
    <w:p>
      <w:r>
        <w:t>Блок 1 завершён успешно. Все микросервисы работают корректно, архитектура проверена. Docker Compose обеспечивает стабильный запуск и взаимодействие между компонентами. Проект готов к переходу к следующему этапу — разработке блока 2 (загрузка и отображение исходных изображений).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