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240"/>
      </w:pPr>
      <w:r>
        <w:t xml:space="preserve">Internal Audit — Cash Leakage Review: Final Report</w:t>
      </w:r>
    </w:p>
    <w:p>
      <w:pPr>
        <w:spacing w:after="60"/>
      </w:pPr>
      <w:r>
        <w:rPr>
          <w:i/>
          <w:iCs/>
          <w:color w:val="5A6B72"/>
          <w:sz w:val="18"/>
          <w:szCs w:val="18"/>
        </w:rPr>
        <w:t xml:space="preserve">Tamween Pharma Distribution, Central Region Division | Issued 20 May 2026 | Classification: Confidential — Board &amp; ExCo | Ref: IA-2026-04</w:t>
      </w:r>
    </w:p>
    <w:p>
      <w:pPr>
        <w:pStyle w:val="Heading2"/>
        <w:spacing w:after="100" w:before="180"/>
      </w:pPr>
      <w:r>
        <w:t xml:space="preserve">Executive summary</w:t>
      </w:r>
    </w:p>
    <w:p>
      <w:pPr>
        <w:spacing w:after="100"/>
      </w:pPr>
      <w:r>
        <w:rPr>
          <w:sz w:val="21"/>
          <w:szCs w:val="21"/>
        </w:rPr>
        <w:t xml:space="preserve">The review identified eight distinct cash-leakage patterns in H1 2026 totalling approximately SAR 1,211,000, of which ~SAR 790,000 is assessed as recoverable and a further ~SAR 250,000/yr addressable going forward through contract renegotiation. A follow-on historic review (FY2023-FY2025), commissioned at the interim readout, identified five additional structural findings totalling ~SAR 5.2M, dominated by the unrecharged Qassim co-location (SAR 4.43M, now settled intercompany) and the contribution-negative KAUST account (strategic repricing mandated).</w:t>
      </w:r>
    </w:p>
    <w:p>
      <w:pPr>
        <w:pStyle w:val="Heading2"/>
        <w:spacing w:after="100" w:before="180"/>
      </w:pPr>
      <w:r>
        <w:t xml:space="preserve">Findings summary (H1 2026)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000"/>
        <w:gridCol w:w="2600"/>
        <w:gridCol w:w="1500"/>
        <w:gridCol w:w="1800"/>
      </w:tblGrid>
      <w:tr>
        <w:tc>
          <w:tcPr>
            <w:tcW w:type="dxa" w:w="700"/>
            <w:shd w:fill="1F4E5F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3000"/>
            <w:shd w:fill="1F4E5F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Pattern</w:t>
            </w:r>
          </w:p>
        </w:tc>
        <w:tc>
          <w:tcPr>
            <w:tcW w:type="dxa" w:w="2600"/>
            <w:shd w:fill="1F4E5F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Vendor / Party</w:t>
            </w:r>
          </w:p>
        </w:tc>
        <w:tc>
          <w:tcPr>
            <w:tcW w:type="dxa" w:w="1500"/>
            <w:shd w:fill="1F4E5F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Value (SAR)</w:t>
            </w:r>
          </w:p>
        </w:tc>
        <w:tc>
          <w:tcPr>
            <w:tcW w:type="dxa" w:w="1800"/>
            <w:shd w:fill="1F4E5F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Disposition</w:t>
            </w:r>
          </w:p>
        </w:tc>
      </w:tr>
      <w:tr>
        <w:tc>
          <w:tcPr>
            <w:tcW w:type="dxa" w:w="700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P1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Duplicate payment (wire + cheque)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Premier Pharma Packaging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177,188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Recover — RD-01</w:t>
            </w:r>
          </w:p>
        </w:tc>
      </w:tr>
      <w:tr>
        <w:tc>
          <w:tcPr>
            <w:tcW w:type="dxa" w:w="700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P2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Duplicate-entity vendor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Al-Rashid V-1142 / V-1187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~105,000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Controls — RD-02</w:t>
            </w:r>
          </w:p>
        </w:tc>
      </w:tr>
      <w:tr>
        <w:tc>
          <w:tcPr>
            <w:tcW w:type="dxa" w:w="700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P3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Off-contract spend, single approver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Quick Print Services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420,200 exposure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Controls — RD-03</w:t>
            </w:r>
          </w:p>
        </w:tc>
      </w:tr>
      <w:tr>
        <w:tc>
          <w:tcPr>
            <w:tcW w:type="dxa" w:w="700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P4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Price variance vs contract (FG-2241)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Gulf BioPharma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30,600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Recovered — RD-04</w:t>
            </w:r>
          </w:p>
        </w:tc>
      </w:tr>
      <w:tr>
        <w:tc>
          <w:tcPr>
            <w:tcW w:type="dxa" w:w="700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P5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Missed early-pay discounts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Saudi Pharma Suppliers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56,500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Process fix — RD-05</w:t>
            </w:r>
          </w:p>
        </w:tc>
      </w:tr>
      <w:tr>
        <w:tc>
          <w:tcPr>
            <w:tcW w:type="dxa" w:w="700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P6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Uncapped CPI+3% auto-renewal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Gulf Cold-Chain Logistics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~250,000/yr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Renegotiate — RD-06</w:t>
            </w:r>
          </w:p>
        </w:tc>
      </w:tr>
      <w:tr>
        <w:tc>
          <w:tcPr>
            <w:tcW w:type="dxa" w:w="700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P7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FX hedge not applied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Servier (HD-2026-019)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42,912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Process fix — RD-07</w:t>
            </w:r>
          </w:p>
        </w:tc>
      </w:tr>
      <w:tr>
        <w:tc>
          <w:tcPr>
            <w:tcW w:type="dxa" w:w="700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P8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Dormant credit not offset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Mediterranean Pharma CR-2024-091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128,000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Recovered — RD-08</w:t>
            </w:r>
          </w:p>
        </w:tc>
      </w:tr>
    </w:tbl>
    <w:p>
      <w:pPr>
        <w:pStyle w:val="Heading2"/>
        <w:spacing w:after="100" w:before="180"/>
      </w:pPr>
      <w:r>
        <w:t xml:space="preserve">Root causes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People: single points of failure in AP (discount diary unowned since Sep-2025 departure); email-based approvals.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Process: no duplicate-payment block across payment instruments; credit notes not auto-applied; no hedge checkpoint in EUR runs.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Systems: vendor master lacks Tax-ID/IBAN uniqueness enforcement; PO coverage 80% of spend.</w:t>
      </w:r>
    </w:p>
    <w:p>
      <w:pPr>
        <w:pStyle w:val="Heading2"/>
        <w:spacing w:after="100" w:before="180"/>
      </w:pPr>
      <w:r>
        <w:t xml:space="preserve">Management response</w:t>
      </w:r>
    </w:p>
    <w:p>
      <w:pPr>
        <w:spacing w:after="100"/>
      </w:pPr>
      <w:r>
        <w:rPr>
          <w:sz w:val="21"/>
          <w:szCs w:val="21"/>
        </w:rPr>
        <w:t xml:space="preserve">Management accepted all findings. Remediation actions RD-01 through RD-13 are tracked in the Remediation Decision Log with owners and due dates; AP SOP v3.0 effective 1 July 2026. The StrategyOS cash-recovery agent now runs continuous detection; recurrence of P1-type failure (first seen Nov-2025) was the decisive argument for automated controls over manual review.</w:t>
      </w:r>
    </w:p>
    <w:p>
      <w:pPr>
        <w:spacing w:after="100"/>
      </w:pPr>
      <w:r>
        <w:rPr>
          <w:i/>
          <w:iCs/>
          <w:sz w:val="18"/>
          <w:szCs w:val="18"/>
        </w:rPr>
        <w:t xml:space="preserve">Head of Internal Audit — 20 May 2026. Distribution: Chairman, CEO, CFO, BU CEO, Audit Committee.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2026-07-27T10:53:57.994Z</dcterms:created>
  <dcterms:modified xsi:type="dcterms:W3CDTF">2026-07-27T10:53:57.995Z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