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Group Treasury Policy — Foreign Exchange Hedging (v2.0)</w:t>
      </w:r>
    </w:p>
    <w:p>
      <w:pPr>
        <w:spacing w:after="60"/>
      </w:pPr>
      <w:r>
        <w:rPr>
          <w:i/>
          <w:iCs/>
          <w:color w:val="5A6B72"/>
          <w:sz w:val="18"/>
          <w:szCs w:val="18"/>
        </w:rPr>
        <w:t xml:space="preserve">Owner: Group Treasurer | Approved by CFO 15 December 2025, effective 1 January 2026 | Supersedes v1.0 (2023)</w:t>
      </w:r>
    </w:p>
    <w:p>
      <w:pPr>
        <w:pStyle w:val="Heading2"/>
        <w:spacing w:after="100" w:before="180"/>
      </w:pPr>
      <w:r>
        <w:t xml:space="preserve">Purpose and scope</w:t>
      </w:r>
    </w:p>
    <w:p>
      <w:pPr>
        <w:spacing w:after="100"/>
      </w:pPr>
      <w:r>
        <w:rPr>
          <w:sz w:val="21"/>
          <w:szCs w:val="21"/>
        </w:rPr>
        <w:t xml:space="preserve">Protect group EBITDA from transactional FX exposure on the EUR (~SAR 280M/yr) and CHF (~SAR 140M/yr) import book and USD flows. Applies to all BUs; executed centrally by Group Treasury.</w:t>
      </w:r>
    </w:p>
    <w:p>
      <w:pPr>
        <w:pStyle w:val="Heading2"/>
        <w:spacing w:after="100" w:before="180"/>
      </w:pPr>
      <w:r>
        <w:t xml:space="preserve">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Coverage target: 60% of rolling 6-month forecast EUR/CHF exposure in 2026, rising to 80% by Q4-2026 (Board risk R-05 mitigation).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Instruments: deliverable forwards and non-deliverable forwards only; options require CFO approval; no speculative positions.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Application: every EUR/CHF payment run must confirm hedge application before release. AP release is BLOCKED without treasury confirmation (new in v2 — response to HD-2026-019 non-application, May 2026 addendum).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Rate basis: budget rate EUR/SAR 4.05 (2026); deviations beyond ±3% trigger reforecast input (see RF1).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Counterparties: SNB, Riyad Bank, Emirates NBD; limits per bank SAR 150M notional.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Reporting: monthly hedge utilisation and effectiveness to CFO; exceptions to Audit Committee quarterly.</w:t>
      </w:r>
    </w:p>
    <w:p>
      <w:pPr>
        <w:pStyle w:val="Heading2"/>
        <w:spacing w:after="100" w:before="180"/>
      </w:pPr>
      <w:r>
        <w:t xml:space="preserve">Addendum (May 2026)</w:t>
      </w:r>
    </w:p>
    <w:p>
      <w:pPr>
        <w:spacing w:after="100"/>
      </w:pPr>
      <w:r>
        <w:rPr>
          <w:sz w:val="21"/>
          <w:szCs w:val="21"/>
        </w:rPr>
        <w:t xml:space="preserve">Following the unapplied-hedge finding (audit P7), section 3.3 checkpoint is system-enforced from July 2026 via the AP SOP v3 hedge check. Historic context: no hedge programme existed pre-2026; 2025 spot drift cost the Distribution division an estimated SAR 0.5M vs budget rates.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2026-07-27T10:53:58.073Z</dcterms:created>
  <dcterms:modified xsi:type="dcterms:W3CDTF">2026-07-27T10:53:58.073Z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