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StrategyOS Programme — Steering Committee Minutes</w:t>
      </w:r>
    </w:p>
    <w:p>
      <w:pPr>
        <w:spacing w:after="60"/>
      </w:pPr>
      <w:r>
        <w:rPr>
          <w:i/>
          <w:iCs/>
          <w:color w:val="5A6B72"/>
          <w:sz w:val="18"/>
          <w:szCs w:val="18"/>
        </w:rPr>
        <w:t xml:space="preserve">14 June 2026 | Present: CEO (chair), CIO, CFO, Legion-Rights delivery lead | Ref: SOS-SC-2026-06</w:t>
      </w:r>
    </w:p>
    <w:p>
      <w:pPr>
        <w:pStyle w:val="Heading2"/>
        <w:spacing w:after="100" w:before="180"/>
      </w:pPr>
      <w:r>
        <w:t xml:space="preserve">Year-1 metrics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Cash-recovery agent: SAR 1.2M H1 patterns + SAR 5.2M historic findings identified against SAR 6.1M spend to date; SAR 4.65M recovered/settled.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Monday Brief adoption: CEO + 8 BU CEOs live since March; parallel Excel pack retired for 6 of 8 BUs (target: all by Q4).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spine: Central Region division fully loaded (ERP, budgets, events, signals, documents); remaining Tamween regions Q3; second BU (Pharma Logistics) scoping.</w:t>
      </w:r>
    </w:p>
    <w:p>
      <w:pPr>
        <w:pStyle w:val="Heading2"/>
        <w:spacing w:after="100" w:before="180"/>
      </w:pPr>
      <w:r>
        <w:t xml:space="preserve">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Tranche 2 funding endorsed (ratified as CC-2026-07).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vault module approved for build: view/upload/edit of findings, decisions and approvals with metadata-driven UI (Taras team) — sample corpus and manifest provided in dataset folder 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Question-bank driven evaluation: 500-question CEO bank adopted as the acceptance test set for answer quality; quarterly scoring.</w:t>
      </w:r>
    </w:p>
    <w:p>
      <w:pPr>
        <w:pStyle w:val="Heading2"/>
        <w:spacing w:after="100" w:before="18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Model-answer trust: mitigated by evidence-citation requirement and the data-quality answer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Pilot-company data availability (Oracle ERP): Tier-1..4 data request template approved; contracts and budget layers flagged as the usual gaps.</w:t>
      </w:r>
    </w:p>
    <w:p>
      <w:pPr>
        <w:pStyle w:val="Heading2"/>
        <w:spacing w:after="100" w:before="180"/>
      </w:pPr>
      <w:r>
        <w:t xml:space="preserve">Next steering: 12 July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2026-07-27T10:53:58.113Z</dcterms:created>
  <dcterms:modified xsi:type="dcterms:W3CDTF">2026-07-27T10:53:58.113Z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