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Group Synergy Programme — Charter</w:t>
      </w:r>
    </w:p>
    <w:p>
      <w:pPr>
        <w:spacing w:after="60"/>
      </w:pPr>
      <w:r>
        <w:rPr>
          <w:i/>
          <w:iCs/>
          <w:color w:val="5A6B72"/>
          <w:sz w:val="18"/>
          <w:szCs w:val="18"/>
        </w:rPr>
        <w:t xml:space="preserve">Sponsor: Group COO | Approved: ExCo 24 June 2026 | Target: ~SAR 86M/yr run-rate savings by 2028 (~+100bps consolidated BU EBITDA)</w:t>
      </w:r>
    </w:p>
    <w:p>
      <w:pPr>
        <w:pStyle w:val="Heading2"/>
        <w:spacing w:after="100" w:before="180"/>
      </w:pPr>
      <w:r>
        <w:t xml:space="preserve">Programmes and owners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900"/>
        <w:gridCol w:w="1500"/>
        <w:gridCol w:w="1400"/>
        <w:gridCol w:w="2400"/>
      </w:tblGrid>
      <w:tr>
        <w:tc>
          <w:tcPr>
            <w:tcW w:type="dxa" w:w="8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Programme</w:t>
            </w:r>
          </w:p>
        </w:tc>
        <w:tc>
          <w:tcPr>
            <w:tcW w:type="dxa" w:w="19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2025 addressable spend (SAR M)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saving (SAR M/yr)</w:t>
            </w:r>
          </w:p>
        </w:tc>
        <w:tc>
          <w:tcPr>
            <w:tcW w:type="dxa" w:w="14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First milestone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Logistics insourcing to Mizan Pharma Logistics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Gulf Cold-Chain renegotiation (RD-06) Q3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 licences &amp; cloud consolidation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CIO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ELA renewals Q4-2026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Facilities co-location + recharge policy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Property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Recharge standard live (CC-2026-08) — done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energy: PPA + solar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COO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PPA RFP launch Q3 (CC-2026-09)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Packaging category tower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Procurement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Hijaz re-tender awarded 23-Jun — done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insurance programme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CFO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Broker RFP Sep; renewal Jan-2027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SYN-07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Finance shared services + AI agents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~90 function cost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CFO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Tamween pilot complete; group design Q4</w:t>
            </w:r>
          </w:p>
        </w:tc>
      </w:tr>
    </w:tbl>
    <w:p>
      <w:pPr>
        <w:pStyle w:val="Heading2"/>
        <w:spacing w:after="100" w:before="180"/>
      </w:pPr>
      <w:r>
        <w:t xml:space="preserve">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Monthly synergy tracker in StrategyOS; savings counted only when banked in BU budgets (no double counting with BU cost plans).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Quarterly review at Capital Committee; annual reset in budget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Proof-case discipline: each programme anchors on a validated finding from the Tamween dataset (e.g., Qassim recharge for SYN-03, Hijaz creep for SYN-05).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2026-07-27T10:53:58.093Z</dcterms:created>
  <dcterms:modified xsi:type="dcterms:W3CDTF">2026-07-27T10:53:58.093Z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