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680" w:rsidRPr="00335680" w:rsidRDefault="00335680" w:rsidP="00335680">
      <w:pPr>
        <w:keepNext/>
        <w:keepLines/>
        <w:spacing w:before="480" w:after="0" w:line="276" w:lineRule="auto"/>
        <w:jc w:val="center"/>
        <w:outlineLvl w:val="0"/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</w:pPr>
      <w:r w:rsidRPr="00335680"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</w:p>
    <w:p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:rsidR="00335680" w:rsidRPr="00335680" w:rsidRDefault="00335680" w:rsidP="00335680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335680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335680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335680">
        <w:rPr>
          <w:rFonts w:eastAsia="Times New Roman" w:cs="Times New Roman"/>
          <w:bCs/>
          <w:sz w:val="28"/>
          <w:szCs w:val="28"/>
          <w:lang w:eastAsia="ru-RU"/>
        </w:rPr>
        <w:tab/>
      </w:r>
    </w:p>
    <w:p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35680">
        <w:rPr>
          <w:rFonts w:eastAsia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b/>
          <w:sz w:val="44"/>
          <w:szCs w:val="28"/>
          <w:lang w:eastAsia="ru-RU"/>
        </w:rPr>
      </w:pPr>
    </w:p>
    <w:p w:rsidR="00335680" w:rsidRPr="00335680" w:rsidRDefault="00335680" w:rsidP="00335680">
      <w:pPr>
        <w:spacing w:after="200" w:line="240" w:lineRule="auto"/>
        <w:jc w:val="center"/>
        <w:rPr>
          <w:rFonts w:eastAsia="Calibri" w:cs="Times New Roman"/>
          <w:b/>
          <w:sz w:val="44"/>
          <w:szCs w:val="28"/>
        </w:rPr>
      </w:pPr>
      <w:r>
        <w:rPr>
          <w:rFonts w:eastAsia="Calibri" w:cs="Times New Roman"/>
          <w:b/>
          <w:sz w:val="44"/>
          <w:szCs w:val="28"/>
        </w:rPr>
        <w:t>Реферат</w:t>
      </w:r>
    </w:p>
    <w:p w:rsidR="00335680" w:rsidRPr="00335680" w:rsidRDefault="00335680" w:rsidP="00335680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</w:pPr>
      <w:r w:rsidRPr="00335680"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  <w:t xml:space="preserve">по </w:t>
      </w:r>
      <w:r w:rsidR="00091F8E"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  <w:t>предмету: «МАПО</w:t>
      </w:r>
      <w:r w:rsidRPr="00335680"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  <w:t>»</w:t>
      </w:r>
    </w:p>
    <w:p w:rsidR="00335680" w:rsidRPr="00335680" w:rsidRDefault="00335680" w:rsidP="00335680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</w:pPr>
      <w:r w:rsidRPr="00335680"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  <w:t>на тему: «</w:t>
      </w:r>
      <w:r w:rsidR="00091F8E"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  <w:t>Дизассемблер</w:t>
      </w:r>
      <w:r w:rsidRPr="00335680"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  <w:t>».</w:t>
      </w:r>
    </w:p>
    <w:p w:rsidR="00335680" w:rsidRPr="00335680" w:rsidRDefault="00335680" w:rsidP="00335680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40"/>
          <w:szCs w:val="28"/>
          <w:lang w:eastAsia="ru-RU"/>
        </w:rPr>
      </w:pPr>
    </w:p>
    <w:p w:rsidR="00335680" w:rsidRPr="00335680" w:rsidRDefault="00335680" w:rsidP="00335680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40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ВЫПОЛНИЛ:</w:t>
      </w:r>
    </w:p>
    <w:p w:rsidR="00335680" w:rsidRPr="00335680" w:rsidRDefault="00C46F1F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Студент</w:t>
      </w:r>
      <w:r w:rsidR="00335680"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группы ИСП-О-17</w:t>
      </w:r>
    </w:p>
    <w:p w:rsidR="00335680" w:rsidRPr="00335680" w:rsidRDefault="00C46F1F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Попов Т</w:t>
      </w:r>
      <w:r w:rsidR="00335680"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>.А</w:t>
      </w:r>
    </w:p>
    <w:p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sz w:val="28"/>
          <w:szCs w:val="28"/>
          <w:lang w:eastAsia="ru-RU"/>
        </w:rPr>
      </w:pPr>
      <w:r w:rsidRPr="00335680">
        <w:rPr>
          <w:rFonts w:eastAsia="Times New Roman" w:cs="Times New Roman"/>
          <w:sz w:val="28"/>
          <w:szCs w:val="28"/>
          <w:lang w:eastAsia="ru-RU"/>
        </w:rPr>
        <w:t>Оценка ___________________</w:t>
      </w: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>2019 г.</w:t>
      </w:r>
    </w:p>
    <w:p w:rsidR="00091F8E" w:rsidRPr="00091F8E" w:rsidRDefault="00091F8E" w:rsidP="00091F8E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091F8E"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Дизассе́мблер</w:t>
      </w:r>
      <w:proofErr w:type="spellEnd"/>
      <w:proofErr w:type="gram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 (от 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англ.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 </w:t>
      </w:r>
      <w:r w:rsidRPr="00091F8E">
        <w:rPr>
          <w:rFonts w:eastAsia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val="en" w:eastAsia="ru-RU"/>
        </w:rPr>
        <w:t>disassembler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 [ˌ</w:t>
      </w:r>
      <w:proofErr w:type="spell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dɪsəˈsɛmblə</w:t>
      </w:r>
      <w:proofErr w:type="spell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(r)]) — 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транслятор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, преобразующий 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машинный код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, 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объектный </w:t>
      </w:r>
      <w:proofErr w:type="spellStart"/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файл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или</w:t>
      </w:r>
      <w:proofErr w:type="spell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библиотечные модули в текст 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программы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 на 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языке ассемблера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91F8E" w:rsidRPr="00091F8E" w:rsidRDefault="00091F8E" w:rsidP="00091F8E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По режиму работы с пользователем делятся </w:t>
      </w:r>
      <w:proofErr w:type="gram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на</w:t>
      </w:r>
      <w:proofErr w:type="gram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автоматические и интерактивные. Примером автоматических дизассемблеров может служить </w:t>
      </w:r>
      <w:proofErr w:type="spell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Sourcer</w:t>
      </w:r>
      <w:proofErr w:type="spellEnd"/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vertAlign w:val="superscript"/>
          <w:lang w:eastAsia="ru-RU"/>
        </w:rPr>
        <w:fldChar w:fldCharType="begin"/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vertAlign w:val="superscript"/>
          <w:lang w:eastAsia="ru-RU"/>
        </w:rPr>
        <w:instrText xml:space="preserve"> HYPERLINK "https://www.wikiwand.com/ru/%D0%94%D0%B8%D0%B7%D0%B0%D1%81%D1%81%D0%B5%D0%BC%D0%B1%D0%BB%D0%B5%D1%80" \l "citenote1" </w:instrTex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vertAlign w:val="superscript"/>
          <w:lang w:eastAsia="ru-RU"/>
        </w:rPr>
        <w:fldChar w:fldCharType="separate"/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vertAlign w:val="superscript"/>
          <w:lang w:eastAsia="ru-RU"/>
        </w:rPr>
        <w:t>[1]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vertAlign w:val="superscript"/>
          <w:lang w:eastAsia="ru-RU"/>
        </w:rPr>
        <w:fldChar w:fldCharType="end"/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. Такие дизассемблеры генерируют готовый листинг, который можно затем править в текстовом редакторе. Пример </w:t>
      </w:r>
      <w:proofErr w:type="gram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интерактивного</w:t>
      </w:r>
      <w:proofErr w:type="gram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 — 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IDA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 Он позволяет изменять правила дизассемблирования и является весьма удобным инструментом для 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исследования программ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91F8E" w:rsidRPr="00091F8E" w:rsidRDefault="00091F8E" w:rsidP="00091F8E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Дизассемблеры бывают однопроходные и многопроходные. Основная трудность при работе дизассемблера — отличить данные от машинного кода, поэтому на первых проходах автоматически или интерактивно собирается информация о границах процедур и функций, а на последнем проходе формируется итоговый листинг. Интерактивность позволяет улучшить этот процесс, так </w:t>
      </w:r>
      <w:proofErr w:type="gram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как</w:t>
      </w:r>
      <w:proofErr w:type="gram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просматривая дамп дизассемблируемой области памяти, программист может сразу выделить строковые константы, дать содержательные имена известным точкам входа, прокомментировать разобранные им фрагменты программы. Обычно однопроходный дизассемблер (как и построчный ассемблер) является составной частью 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отладчика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91F8E" w:rsidRPr="00091F8E" w:rsidRDefault="00091F8E" w:rsidP="00091F8E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Чаще всего дизассемблер используют для анализа 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программы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 (или её части), 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исходный текст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 которой неизвестен — с целью модификации, копирования или взлома. Реже — для поиска ошибок (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багов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) в 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программах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компиляторах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, а также для анализа и оптимизации создаваемого </w:t>
      </w:r>
      <w:r w:rsidRPr="00091F8E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компилятором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 машинного кода.</w:t>
      </w:r>
    </w:p>
    <w:p w:rsidR="00091F8E" w:rsidRPr="00091F8E" w:rsidRDefault="00091F8E" w:rsidP="00091F8E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При работе с исполняемым кодом или байт-кодом, созданным на некоторых языках высокого уровня (например, </w:t>
      </w:r>
      <w:proofErr w:type="spell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) имеется возможность восстановить не только текст на языке ассемблера, но даже и структуру классов программы, а если при компиляции исполняемого файла не была отключена отладочная информация — то и исходный те</w:t>
      </w:r>
      <w:proofErr w:type="gram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кст пр</w:t>
      </w:r>
      <w:proofErr w:type="gram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ограммы. Для исключения таких возможностей используется </w:t>
      </w:r>
      <w:proofErr w:type="spell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обфусфикация</w:t>
      </w:r>
      <w:proofErr w:type="spell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83F27" w:rsidRDefault="00A83F27" w:rsidP="00A83F27">
      <w:pPr>
        <w:pStyle w:val="a7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:rsidR="00091F8E" w:rsidRPr="00091F8E" w:rsidRDefault="00091F8E" w:rsidP="00091F8E">
      <w:pPr>
        <w:pStyle w:val="2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  <w:r w:rsidRPr="00091F8E"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bdr w:val="none" w:sz="0" w:space="0" w:color="auto" w:frame="1"/>
        </w:rPr>
        <w:t>Примеры программ-дизассемблеров</w:t>
      </w:r>
    </w:p>
    <w:p w:rsidR="00091F8E" w:rsidRPr="00091F8E" w:rsidRDefault="00091F8E" w:rsidP="00091F8E">
      <w:pPr>
        <w:pStyle w:val="a7"/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091F8E">
        <w:rPr>
          <w:rFonts w:cs="Times New Roman"/>
          <w:color w:val="000000" w:themeColor="text1"/>
          <w:sz w:val="28"/>
          <w:szCs w:val="28"/>
          <w:lang w:val="en-US"/>
        </w:rPr>
        <w:t>•</w:t>
      </w:r>
      <w:r w:rsidRPr="00091F8E">
        <w:rPr>
          <w:rFonts w:cs="Times New Roman"/>
          <w:color w:val="000000" w:themeColor="text1"/>
          <w:sz w:val="28"/>
          <w:szCs w:val="28"/>
          <w:lang w:val="en-US"/>
        </w:rPr>
        <w:tab/>
        <w:t>IDA</w:t>
      </w:r>
    </w:p>
    <w:p w:rsidR="00091F8E" w:rsidRPr="00091F8E" w:rsidRDefault="00091F8E" w:rsidP="00091F8E">
      <w:pPr>
        <w:pStyle w:val="a7"/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091F8E">
        <w:rPr>
          <w:rFonts w:cs="Times New Roman"/>
          <w:color w:val="000000" w:themeColor="text1"/>
          <w:sz w:val="28"/>
          <w:szCs w:val="28"/>
          <w:lang w:val="en-US"/>
        </w:rPr>
        <w:t>•</w:t>
      </w:r>
      <w:r w:rsidRPr="00091F8E">
        <w:rPr>
          <w:rFonts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091F8E">
        <w:rPr>
          <w:rFonts w:cs="Times New Roman"/>
          <w:color w:val="000000" w:themeColor="text1"/>
          <w:sz w:val="28"/>
          <w:szCs w:val="28"/>
          <w:lang w:val="en-US"/>
        </w:rPr>
        <w:t>Sourcer</w:t>
      </w:r>
      <w:proofErr w:type="spellEnd"/>
    </w:p>
    <w:p w:rsidR="00091F8E" w:rsidRPr="00091F8E" w:rsidRDefault="00091F8E" w:rsidP="00091F8E">
      <w:pPr>
        <w:pStyle w:val="a7"/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091F8E">
        <w:rPr>
          <w:rFonts w:cs="Times New Roman"/>
          <w:color w:val="000000" w:themeColor="text1"/>
          <w:sz w:val="28"/>
          <w:szCs w:val="28"/>
          <w:lang w:val="en-US"/>
        </w:rPr>
        <w:t>•</w:t>
      </w:r>
      <w:r w:rsidRPr="00091F8E">
        <w:rPr>
          <w:rFonts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091F8E">
        <w:rPr>
          <w:rFonts w:cs="Times New Roman"/>
          <w:color w:val="000000" w:themeColor="text1"/>
          <w:sz w:val="28"/>
          <w:szCs w:val="28"/>
          <w:lang w:val="en-US"/>
        </w:rPr>
        <w:t>Beye</w:t>
      </w:r>
      <w:proofErr w:type="spellEnd"/>
    </w:p>
    <w:p w:rsidR="00091F8E" w:rsidRPr="00091F8E" w:rsidRDefault="00091F8E" w:rsidP="00091F8E">
      <w:pPr>
        <w:pStyle w:val="a7"/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091F8E">
        <w:rPr>
          <w:rFonts w:cs="Times New Roman"/>
          <w:color w:val="000000" w:themeColor="text1"/>
          <w:sz w:val="28"/>
          <w:szCs w:val="28"/>
          <w:lang w:val="en-US"/>
        </w:rPr>
        <w:t>•</w:t>
      </w:r>
      <w:r w:rsidRPr="00091F8E">
        <w:rPr>
          <w:rFonts w:cs="Times New Roman"/>
          <w:color w:val="000000" w:themeColor="text1"/>
          <w:sz w:val="28"/>
          <w:szCs w:val="28"/>
          <w:lang w:val="en-US"/>
        </w:rPr>
        <w:tab/>
        <w:t>HT editor</w:t>
      </w:r>
    </w:p>
    <w:p w:rsidR="00091F8E" w:rsidRPr="00091F8E" w:rsidRDefault="00091F8E" w:rsidP="00091F8E">
      <w:pPr>
        <w:pStyle w:val="a7"/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091F8E">
        <w:rPr>
          <w:rFonts w:cs="Times New Roman"/>
          <w:color w:val="000000" w:themeColor="text1"/>
          <w:sz w:val="28"/>
          <w:szCs w:val="28"/>
          <w:lang w:val="en-US"/>
        </w:rPr>
        <w:t>•</w:t>
      </w:r>
      <w:r w:rsidRPr="00091F8E">
        <w:rPr>
          <w:rFonts w:cs="Times New Roman"/>
          <w:color w:val="000000" w:themeColor="text1"/>
          <w:sz w:val="28"/>
          <w:szCs w:val="28"/>
          <w:lang w:val="en-US"/>
        </w:rPr>
        <w:tab/>
        <w:t>Hacker Disassembler Engine</w:t>
      </w:r>
    </w:p>
    <w:p w:rsidR="00091F8E" w:rsidRPr="00091F8E" w:rsidRDefault="00091F8E" w:rsidP="00091F8E">
      <w:pPr>
        <w:pStyle w:val="a7"/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091F8E">
        <w:rPr>
          <w:rFonts w:cs="Times New Roman"/>
          <w:color w:val="000000" w:themeColor="text1"/>
          <w:sz w:val="28"/>
          <w:szCs w:val="28"/>
        </w:rPr>
        <w:t>•</w:t>
      </w:r>
      <w:r w:rsidRPr="00091F8E">
        <w:rPr>
          <w:rFonts w:cs="Times New Roman"/>
          <w:color w:val="000000" w:themeColor="text1"/>
          <w:sz w:val="28"/>
          <w:szCs w:val="28"/>
        </w:rPr>
        <w:tab/>
      </w:r>
      <w:proofErr w:type="spellStart"/>
      <w:r w:rsidRPr="00091F8E">
        <w:rPr>
          <w:rFonts w:cs="Times New Roman"/>
          <w:color w:val="000000" w:themeColor="text1"/>
          <w:sz w:val="28"/>
          <w:szCs w:val="28"/>
          <w:lang w:val="en-US"/>
        </w:rPr>
        <w:t>CADt</w:t>
      </w:r>
      <w:proofErr w:type="spellEnd"/>
    </w:p>
    <w:p w:rsidR="00091F8E" w:rsidRPr="00091F8E" w:rsidRDefault="00091F8E" w:rsidP="00091F8E">
      <w:pPr>
        <w:pStyle w:val="a7"/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091F8E">
        <w:rPr>
          <w:rFonts w:cs="Times New Roman"/>
          <w:color w:val="000000" w:themeColor="text1"/>
          <w:sz w:val="28"/>
          <w:szCs w:val="28"/>
        </w:rPr>
        <w:t>•</w:t>
      </w:r>
      <w:r w:rsidRPr="00091F8E">
        <w:rPr>
          <w:rFonts w:cs="Times New Roman"/>
          <w:color w:val="000000" w:themeColor="text1"/>
          <w:sz w:val="28"/>
          <w:szCs w:val="28"/>
        </w:rPr>
        <w:tab/>
      </w:r>
      <w:proofErr w:type="spellStart"/>
      <w:r w:rsidRPr="00091F8E">
        <w:rPr>
          <w:rFonts w:cs="Times New Roman"/>
          <w:color w:val="000000" w:themeColor="text1"/>
          <w:sz w:val="28"/>
          <w:szCs w:val="28"/>
          <w:lang w:val="en-US"/>
        </w:rPr>
        <w:t>Objdump</w:t>
      </w:r>
      <w:proofErr w:type="spellEnd"/>
    </w:p>
    <w:p w:rsidR="00091F8E" w:rsidRPr="00091F8E" w:rsidRDefault="00091F8E" w:rsidP="00091F8E">
      <w:pPr>
        <w:pStyle w:val="a7"/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091F8E">
        <w:rPr>
          <w:rFonts w:cs="Times New Roman"/>
          <w:color w:val="000000" w:themeColor="text1"/>
          <w:sz w:val="28"/>
          <w:szCs w:val="28"/>
        </w:rPr>
        <w:t>•</w:t>
      </w:r>
      <w:r w:rsidRPr="00091F8E">
        <w:rPr>
          <w:rFonts w:cs="Times New Roman"/>
          <w:color w:val="000000" w:themeColor="text1"/>
          <w:sz w:val="28"/>
          <w:szCs w:val="28"/>
        </w:rPr>
        <w:tab/>
      </w:r>
      <w:proofErr w:type="spellStart"/>
      <w:r w:rsidRPr="00091F8E">
        <w:rPr>
          <w:rFonts w:cs="Times New Roman"/>
          <w:color w:val="000000" w:themeColor="text1"/>
          <w:sz w:val="28"/>
          <w:szCs w:val="28"/>
          <w:lang w:val="en-US"/>
        </w:rPr>
        <w:t>Radare</w:t>
      </w:r>
      <w:proofErr w:type="spellEnd"/>
      <w:r w:rsidRPr="00091F8E">
        <w:rPr>
          <w:rFonts w:cs="Times New Roman"/>
          <w:color w:val="000000" w:themeColor="text1"/>
          <w:sz w:val="28"/>
          <w:szCs w:val="28"/>
        </w:rPr>
        <w:t>2</w:t>
      </w:r>
    </w:p>
    <w:p w:rsidR="00091F8E" w:rsidRPr="00091F8E" w:rsidRDefault="00091F8E" w:rsidP="00091F8E">
      <w:pPr>
        <w:pStyle w:val="a7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091F8E">
        <w:rPr>
          <w:rFonts w:cs="Times New Roman"/>
          <w:color w:val="000000" w:themeColor="text1"/>
          <w:sz w:val="28"/>
          <w:szCs w:val="28"/>
        </w:rPr>
        <w:lastRenderedPageBreak/>
        <w:t>•</w:t>
      </w:r>
      <w:r w:rsidRPr="00091F8E">
        <w:rPr>
          <w:rFonts w:cs="Times New Roman"/>
          <w:color w:val="000000" w:themeColor="text1"/>
          <w:sz w:val="28"/>
          <w:szCs w:val="28"/>
        </w:rPr>
        <w:tab/>
      </w:r>
      <w:proofErr w:type="spellStart"/>
      <w:r w:rsidRPr="00091F8E">
        <w:rPr>
          <w:rFonts w:cs="Times New Roman"/>
          <w:color w:val="000000" w:themeColor="text1"/>
          <w:sz w:val="28"/>
          <w:szCs w:val="28"/>
          <w:lang w:val="en-US"/>
        </w:rPr>
        <w:t>Ghidra</w:t>
      </w:r>
      <w:proofErr w:type="spellEnd"/>
      <w:r w:rsidRPr="00091F8E">
        <w:rPr>
          <w:rFonts w:cs="Times New Roman"/>
          <w:color w:val="000000" w:themeColor="text1"/>
          <w:sz w:val="28"/>
          <w:szCs w:val="28"/>
        </w:rPr>
        <w:t>[</w:t>
      </w:r>
      <w:r w:rsidRPr="00091F8E">
        <w:rPr>
          <w:rFonts w:cs="Times New Roman"/>
          <w:color w:val="000000" w:themeColor="text1"/>
          <w:sz w:val="28"/>
          <w:szCs w:val="28"/>
          <w:lang w:val="en-US"/>
        </w:rPr>
        <w:t>en</w:t>
      </w:r>
      <w:r w:rsidRPr="00091F8E">
        <w:rPr>
          <w:rFonts w:cs="Times New Roman"/>
          <w:color w:val="000000" w:themeColor="text1"/>
          <w:sz w:val="28"/>
          <w:szCs w:val="28"/>
        </w:rPr>
        <w:t>]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Изучение логики работы программы может выполняться в одном из двух режимов: статическом и динамическом. Сущность статического режима заключается в изучении исходного текста программы. Для получения листингов исходного текста выполняемый программный модуль дизассемблируют, то есть получают из программы на машинном языке программу на языке Ассемблер.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Динамический режим изучения алгоритма программы предполагает выполнение трассировки программы. </w:t>
      </w:r>
      <w:proofErr w:type="gram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Под трассировкой программы понимается выполнение программы на ЭВМ с использованием специальных средств, позволяющих выполнять программу в пошаговом режиме, получать доступ к регистрам, областям памяти, производить остановку программы по определенным адресам и т. д. В динамическом режиме изучение алгоритма работы программы осуществляется либо в процессе трассировки, либо по данным трассировки, которые записаны в запоминающем устройстве.</w:t>
      </w:r>
      <w:proofErr w:type="gramEnd"/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Средства противодействия дизассемблированию не могут защитить программу от трассировки и наоборот: программы, защищенные только от трассировки, могут быть дизассемблированы. Поэтому для защиты программ от изучения необходимо иметь средства </w:t>
      </w:r>
      <w:proofErr w:type="gram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противодействия</w:t>
      </w:r>
      <w:proofErr w:type="gram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как дизассемблированию, так и трассировке.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Существует несколько методов противодействия дизассемблированию: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- шифрование;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- архивация;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- использование самогенерирующих кодов;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- «обман» дизассемблера.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Архивацию можно рассматривать как простейшее шифрование. Причем архивация может быть объединена с шифрованием. Комбинация таких методов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позволяет получать надежно закрытые компактные программы. Зашифрованную программу невозможно дизассемблировать без </w:t>
      </w:r>
      <w:proofErr w:type="spell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расшифрования</w:t>
      </w:r>
      <w:proofErr w:type="spell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Зашифрование</w:t>
      </w:r>
      <w:proofErr w:type="spell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расшифрование</w:t>
      </w:r>
      <w:proofErr w:type="spell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) программ может осуществляться аппаратными средствами или отдельными программами. Такое шифрование используется перед передачей программы по каналам связи или при хранении ее на ВЗУ. Дизассемблирование программ в этом случае возможно только при получении доступа к расшифрованной </w:t>
      </w: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программе, находящейся </w:t>
      </w:r>
      <w:proofErr w:type="gram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</w:t>
      </w:r>
      <w:proofErr w:type="gram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ОП </w:t>
      </w:r>
      <w:proofErr w:type="gram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перед</w:t>
      </w:r>
      <w:proofErr w:type="gram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ее выполнением (если считается, что преодолеть криптографическую защиту невозможно).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Другой подход к защите от дизассемблирования связан с совмещением процесса </w:t>
      </w:r>
      <w:proofErr w:type="spell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расшифрования</w:t>
      </w:r>
      <w:proofErr w:type="spell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с процессом выполнения программ. Если </w:t>
      </w:r>
      <w:proofErr w:type="spell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расшифрование</w:t>
      </w:r>
      <w:proofErr w:type="spell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всей программы осуществляется блоком, получающим управление первым, то такую программу расшифровать довольно просто. Гораздо сложнее расшифровать и дизассемблировать программу, которая поэтапно расшифровывает информацию, и этапы разнесены по ходу выполнения программы. Задача становится еще более сложной, если процесс </w:t>
      </w:r>
      <w:proofErr w:type="spell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расшифрования</w:t>
      </w:r>
      <w:proofErr w:type="spell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разнесен по тексту программы.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Сущность метода, основанного на использовании самогенерируемых кодов, заключается в том, что исполняемые коды программы получаются самой программой в процессе ее выполнения. Самогенерируемые коды получаются в результате определенных действий над специально выбранным массивом данных. В качестве исходных данных могут использоваться исполняемые коды самой программы или специально подготовленный массив данных. Данный метод показал свою высокую эффективность, но он сложен в реализации.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Под «обманом» дизассемблера понимают такой стиль программирования, который вызывает нарушение правильной работы стандартного дизассемблера за счет нестандартных приемов использования отдельных команд, нарушения общепринятых соглашений. «Обман» дизассемблера осуществляется несколькими способами: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- нестандартная структура программы;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- скрытые переходы, вызовы процедур, возвраты из них и из прерываний;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- переходы и вызовы подпрограмм по динамически изменяемым адресам;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- модификация исполняемых кодов.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Для дезориентации дизассемблера часто используются скрытые переходы, вызовы и возвраты за счет применения нестандартных возможностей команд.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Маскировка скрытых действий часто осуществляется с применением стеков.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Трассировка программ обычно осуществляется с помощью программных продуктов, называемых отладчиками. Основное назначение их - выявление ошибок в программах. При анализе алгоритмов программ используются такие возможности отладчиков как пошаговое (покомандное) выполнение программ, возможность останова в контрольной точке.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lastRenderedPageBreak/>
        <w:t>Покомандное выполнение осуществляется процессором при установке пошагового режима работы. Контрольной точкой называют любое место в программе, на котором обычное выполнение программы приостанавливается, и осуществляется переход в особый режим, например, в режим покомандного выполнения. Для реализации механизма контрольной точки обычно используется прерывание по соответствующей команде ЭВМ (для IВМ-совместных ПЭВМ такой командой является команда IN</w:t>
      </w:r>
      <w:proofErr w:type="gram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</w:t>
      </w:r>
      <w:proofErr w:type="gram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). В современных процессорах можно использовать специальные регистры для установки нескольких контрольных точек при выполнении определенных операций: обращение к участку памяти, изменение участка памяти, выборка по определенному адресу, обращение к определенному порту ввода-вывода и т. д.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При наличии современных средств отладки программ полностью исключить возможность изучения алгоритма программы невозможно, но существенно затруднить трассировку возможно. Основной задачей противодействия трассировке является увеличение числа и сложности ручных операций, которые необходимо выполнить программисту-аналитику.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Для противодействия трассировке программы в ее состав вводятся следующие механизмы: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- изменение среды функционирования;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- модификация кодов программы;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- «случайные» переходы.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Под изменением среды функционирования понимается запрет или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переопределение прерываний (если это возможно), изменение режимов работы, состояния управляющих регистров, триггеров и т. п. Такие изменения вынуждают аналитика отслеживать изменения и вручную восстанавливать среду функционирования.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Изменяющиеся коды программ, например, в процедурах приводят к тому, что каждое выполнение процедуры выполняется по различным ветвям алгоритма.</w:t>
      </w:r>
    </w:p>
    <w:p w:rsidR="00091F8E" w:rsidRPr="00091F8E" w:rsidRDefault="00091F8E" w:rsidP="00091F8E">
      <w:pPr>
        <w:shd w:val="clear" w:color="auto" w:fill="FFFFFF"/>
        <w:spacing w:after="285" w:line="24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«Случайные» переходы выполняются за счет вычисления адресов переходов. Исходными данными для этого служат характеристики среды функционирования, контрольные суммы процедур (модифицируемых) и т. п. Включение таких механизмов в те</w:t>
      </w:r>
      <w:proofErr w:type="gramStart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кст пр</w:t>
      </w:r>
      <w:proofErr w:type="gramEnd"/>
      <w:r w:rsidRPr="00091F8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ограмм существенно усложняет изучение алгоритмов программ путем их трассировки.</w:t>
      </w:r>
    </w:p>
    <w:p w:rsidR="00091F8E" w:rsidRPr="00091F8E" w:rsidRDefault="00091F8E" w:rsidP="00091F8E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b/>
          <w:bCs/>
          <w:i/>
          <w:iCs/>
          <w:color w:val="000000" w:themeColor="text1"/>
          <w:kern w:val="36"/>
          <w:sz w:val="28"/>
          <w:szCs w:val="28"/>
          <w:lang w:eastAsia="ru-RU"/>
        </w:rPr>
        <w:t>Методы защиты программ от исследования</w:t>
      </w:r>
    </w:p>
    <w:p w:rsidR="00091F8E" w:rsidRPr="00091F8E" w:rsidRDefault="00091F8E" w:rsidP="00091F8E">
      <w:pPr>
        <w:spacing w:after="375" w:line="240" w:lineRule="auto"/>
        <w:outlineLvl w:val="0"/>
        <w:rPr>
          <w:rFonts w:eastAsia="Times New Roman" w:cs="Times New Roman"/>
          <w:i/>
          <w:iCs/>
          <w:color w:val="000000" w:themeColor="text1"/>
          <w:kern w:val="36"/>
          <w:sz w:val="28"/>
          <w:szCs w:val="28"/>
          <w:shd w:val="clear" w:color="auto" w:fill="FFFFFF"/>
          <w:lang w:eastAsia="ru-RU"/>
        </w:rPr>
      </w:pPr>
      <w:r w:rsidRPr="00091F8E">
        <w:rPr>
          <w:rFonts w:eastAsia="Times New Roman" w:cs="Times New Roman"/>
          <w:i/>
          <w:iCs/>
          <w:color w:val="000000" w:themeColor="text1"/>
          <w:kern w:val="36"/>
          <w:sz w:val="28"/>
          <w:szCs w:val="28"/>
          <w:shd w:val="clear" w:color="auto" w:fill="FFFFFF"/>
          <w:lang w:eastAsia="ru-RU"/>
        </w:rPr>
        <w:lastRenderedPageBreak/>
        <w:t>дизассемблирование программа язык листинг</w:t>
      </w:r>
    </w:p>
    <w:p w:rsidR="00091F8E" w:rsidRPr="00091F8E" w:rsidRDefault="00091F8E" w:rsidP="00091F8E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proofErr w:type="gramStart"/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Для защиты программ от исследования необходимо применять методы защиты от исследования файла с ее исполняемым кодом, хранящемся на внешнем носителе, а также методы защиты исполняемого кода, загружаемого в оперативную память для выполнения этой программы.</w:t>
      </w:r>
      <w:proofErr w:type="gramEnd"/>
    </w:p>
    <w:p w:rsidR="00091F8E" w:rsidRPr="00091F8E" w:rsidRDefault="00091F8E" w:rsidP="00091F8E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i/>
          <w:iCs/>
          <w:color w:val="000000" w:themeColor="text1"/>
          <w:kern w:val="36"/>
          <w:sz w:val="28"/>
          <w:szCs w:val="28"/>
          <w:lang w:eastAsia="ru-RU"/>
        </w:rPr>
        <w:t>В первом случае защита может быть основана на шифровании секретной части программы, а во втором </w:t>
      </w: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- на блокировании доступа к исполняемому коду программы в оперативной памяти со стороны отладчиков. Кроме того, перед завершением работы защищаемой программы должен обнуляться весь ее код в оперативной памяти. Это предотвратит возможность несанкционированного копирования из оперативной памяти дешифрованного исполняемого кода после выполнения защищаемой программы.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Таким образом, защищаемая от исследования программа должна включать следующие компоненты: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- инициализатор;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- зашифрованную секретную часть;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- деструктор (</w:t>
      </w:r>
      <w:proofErr w:type="spellStart"/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деициниализатор</w:t>
      </w:r>
      <w:proofErr w:type="spellEnd"/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).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Инициализатор должен обеспечивать выполнение следующих функций: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- сохранение параметров операционной среды функционирования (векторов прерываний, содержимого регистров процессора и т.д.);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- запрет всех внутренних и внешних прерываний, обработка которых не может быть запротоколирована в защищаемой программе;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- загрузка в оперативную память и дешифрование кода секретной части программы;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- передача управления секретной части программы.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Секретная часть программы предназначена для выполнения </w:t>
      </w:r>
      <w:proofErr w:type="gramStart"/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основных</w:t>
      </w:r>
      <w:proofErr w:type="gramEnd"/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целевых функций программы и защищается шифрованием для предупреждения внесения в нее программной закладки.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Деструктор после выполнения секретной части программы должен выполнить следующие действия: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lastRenderedPageBreak/>
        <w:t>- обнуление секретного кода программы в оперативной памяти;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- восстановление параметров операционной системы (векторов прерываний, содержимого регистров процессора и т.д.), которые были установлены до запрета неконтролируемых прерываний;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- выполнение операций, которые невозможно было выполнить при запрете неконтролируемых прерываний;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- освобождение всех незадействованных ресурсов компьютера и завершение работы программы.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Для большей надежности инициализатор может быть частично зашифрован и по мере выполнения может дешифровать сам себя. Дешифроваться по мере выполнения может и секретная часть программы. Такое дешифрование называется динамическим дешифрованием исполняемого кода. В этом случае очередные участки программ перед непосредственным исполнением расшифровываются, а после исполнения сразу уничтожаются.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Для повышения эффективности защиты программ от исследования необходимо внесение в программу дополнительных функций безопасности, направленных на защиту от трассировки. К таким функциям можно отнести: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proofErr w:type="gramStart"/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- периодический подсчет контрольной суммы области оперативной памяти, занимаемой защищаемым исходным кодом; сравнение текущей контрольной суммы с предварительно сформированной эталонной и принятие необходимых мер в случае несовпадения;</w:t>
      </w:r>
      <w:proofErr w:type="gramEnd"/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- проверку количества занимаемой защищаемой программой оперативной памяти; сравнение с объемом, к которому программа адаптирована, и принятие необходимых мер в случае несоответствия;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- контроль времени выполнения отдельных частей программы;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- блокировку клавиатуры на время отработки особо секретных алгоритмов.</w:t>
      </w:r>
    </w:p>
    <w:p w:rsidR="00091F8E" w:rsidRPr="00091F8E" w:rsidRDefault="00091F8E" w:rsidP="00091F8E">
      <w:pPr>
        <w:shd w:val="clear" w:color="auto" w:fill="FFFFFF"/>
        <w:spacing w:after="375" w:line="240" w:lineRule="auto"/>
        <w:outlineLvl w:val="0"/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1F8E">
        <w:rPr>
          <w:rFonts w:eastAsia="Times New Roman" w:cs="Times New Roman"/>
          <w:color w:val="000000" w:themeColor="text1"/>
          <w:kern w:val="36"/>
          <w:sz w:val="28"/>
          <w:szCs w:val="28"/>
          <w:lang w:eastAsia="ru-RU"/>
        </w:rPr>
        <w:t>Для защиты программ от исследования с помощью дизассемблеров можно использовать и такой способ, как усложнение структуры самой программы с целью запутывания злоумышленника, который дизассемблирует эту программу. Например, можно использовать разные сегменты адреса для обращения к одной и той же области памяти. В этом случае злоумышленнику будет трудно догадаться, что на самом деле программа работает с одной и той же областью памяти.</w:t>
      </w:r>
      <w:bookmarkStart w:id="0" w:name="_GoBack"/>
      <w:bookmarkEnd w:id="0"/>
    </w:p>
    <w:p w:rsidR="00091F8E" w:rsidRPr="00091F8E" w:rsidRDefault="00091F8E" w:rsidP="00A83F27">
      <w:pPr>
        <w:pStyle w:val="a7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</w:p>
    <w:sectPr w:rsidR="00091F8E" w:rsidRPr="00091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435" w:rsidRDefault="00057435" w:rsidP="00335680">
      <w:pPr>
        <w:spacing w:after="0" w:line="240" w:lineRule="auto"/>
      </w:pPr>
      <w:r>
        <w:separator/>
      </w:r>
    </w:p>
  </w:endnote>
  <w:endnote w:type="continuationSeparator" w:id="0">
    <w:p w:rsidR="00057435" w:rsidRDefault="00057435" w:rsidP="0033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435" w:rsidRDefault="00057435" w:rsidP="00335680">
      <w:pPr>
        <w:spacing w:after="0" w:line="240" w:lineRule="auto"/>
      </w:pPr>
      <w:r>
        <w:separator/>
      </w:r>
    </w:p>
  </w:footnote>
  <w:footnote w:type="continuationSeparator" w:id="0">
    <w:p w:rsidR="00057435" w:rsidRDefault="00057435" w:rsidP="00335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454F"/>
    <w:multiLevelType w:val="multilevel"/>
    <w:tmpl w:val="7930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1A1388"/>
    <w:multiLevelType w:val="hybridMultilevel"/>
    <w:tmpl w:val="DA8CD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B3A4B5E"/>
    <w:multiLevelType w:val="multilevel"/>
    <w:tmpl w:val="1472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B01D26"/>
    <w:multiLevelType w:val="multilevel"/>
    <w:tmpl w:val="D03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7B"/>
    <w:rsid w:val="00057435"/>
    <w:rsid w:val="00091F8E"/>
    <w:rsid w:val="000B5C3F"/>
    <w:rsid w:val="000C1FEF"/>
    <w:rsid w:val="002115C8"/>
    <w:rsid w:val="002D2706"/>
    <w:rsid w:val="00335680"/>
    <w:rsid w:val="004A7FA0"/>
    <w:rsid w:val="005C1186"/>
    <w:rsid w:val="00983571"/>
    <w:rsid w:val="00A24B7B"/>
    <w:rsid w:val="00A83F27"/>
    <w:rsid w:val="00A94076"/>
    <w:rsid w:val="00BF03D4"/>
    <w:rsid w:val="00C4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091F8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1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5680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335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5680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2D270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46F1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first-paragraph">
    <w:name w:val="first-paragraph"/>
    <w:basedOn w:val="a"/>
    <w:rsid w:val="00091F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091F8E"/>
    <w:rPr>
      <w:color w:val="0000FF"/>
      <w:u w:val="single"/>
    </w:rPr>
  </w:style>
  <w:style w:type="character" w:customStyle="1" w:styleId="ipa">
    <w:name w:val="ipa"/>
    <w:basedOn w:val="a0"/>
    <w:rsid w:val="00091F8E"/>
  </w:style>
  <w:style w:type="character" w:customStyle="1" w:styleId="10">
    <w:name w:val="Заголовок 1 Знак"/>
    <w:basedOn w:val="a0"/>
    <w:link w:val="1"/>
    <w:uiPriority w:val="9"/>
    <w:rsid w:val="00091F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91F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mw-headline">
    <w:name w:val="mw-headline"/>
    <w:basedOn w:val="a0"/>
    <w:rsid w:val="00091F8E"/>
  </w:style>
  <w:style w:type="character" w:customStyle="1" w:styleId="iw">
    <w:name w:val="iw"/>
    <w:basedOn w:val="a0"/>
    <w:rsid w:val="00091F8E"/>
  </w:style>
  <w:style w:type="character" w:customStyle="1" w:styleId="iwtooltip">
    <w:name w:val="iw__tooltip"/>
    <w:basedOn w:val="a0"/>
    <w:rsid w:val="00091F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091F8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1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5680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335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5680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2D270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46F1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first-paragraph">
    <w:name w:val="first-paragraph"/>
    <w:basedOn w:val="a"/>
    <w:rsid w:val="00091F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091F8E"/>
    <w:rPr>
      <w:color w:val="0000FF"/>
      <w:u w:val="single"/>
    </w:rPr>
  </w:style>
  <w:style w:type="character" w:customStyle="1" w:styleId="ipa">
    <w:name w:val="ipa"/>
    <w:basedOn w:val="a0"/>
    <w:rsid w:val="00091F8E"/>
  </w:style>
  <w:style w:type="character" w:customStyle="1" w:styleId="10">
    <w:name w:val="Заголовок 1 Знак"/>
    <w:basedOn w:val="a0"/>
    <w:link w:val="1"/>
    <w:uiPriority w:val="9"/>
    <w:rsid w:val="00091F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91F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mw-headline">
    <w:name w:val="mw-headline"/>
    <w:basedOn w:val="a0"/>
    <w:rsid w:val="00091F8E"/>
  </w:style>
  <w:style w:type="character" w:customStyle="1" w:styleId="iw">
    <w:name w:val="iw"/>
    <w:basedOn w:val="a0"/>
    <w:rsid w:val="00091F8E"/>
  </w:style>
  <w:style w:type="character" w:customStyle="1" w:styleId="iwtooltip">
    <w:name w:val="iw__tooltip"/>
    <w:basedOn w:val="a0"/>
    <w:rsid w:val="00091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7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69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935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2019-11-29T11:54:00Z</dcterms:created>
  <dcterms:modified xsi:type="dcterms:W3CDTF">2019-11-29T11:54:00Z</dcterms:modified>
</cp:coreProperties>
</file>