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  <w:lang w:val="ru-ru" w:eastAsia="zh-cn" w:bidi="ar-sa"/>
        </w:rPr>
      </w:pPr>
      <w:r>
        <w:rPr>
          <w:b/>
          <w:bCs/>
          <w:sz w:val="40"/>
          <w:szCs w:val="40"/>
          <w:lang w:val="ru-ru" w:eastAsia="zh-cn" w:bidi="ar-sa"/>
        </w:rPr>
        <w:t>МОСКОВСКАЯ ПРЕДПРОФЕССИОНАЛЬНАЯ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  <w:lang w:val="ru-ru" w:eastAsia="zh-cn" w:bidi="ar-sa"/>
        </w:rPr>
      </w:pPr>
      <w:r>
        <w:rPr>
          <w:b/>
          <w:bCs/>
          <w:sz w:val="40"/>
          <w:szCs w:val="40"/>
          <w:lang w:val="ru-ru" w:eastAsia="zh-cn" w:bidi="ar-sa"/>
        </w:rPr>
        <w:t xml:space="preserve"> ОЛИМПИАДА ШКОЛЬНИКОВ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8"/>
          <w:szCs w:val="48"/>
          <w:lang w:val="ru-ru" w:eastAsia="zh-cn" w:bidi="ar-sa"/>
        </w:rPr>
      </w:pPr>
      <w:r>
        <w:rPr>
          <w:b/>
          <w:bCs/>
          <w:sz w:val="48"/>
          <w:szCs w:val="48"/>
          <w:lang w:val="ru-ru" w:eastAsia="zh-cn" w:bidi="ar-sa"/>
        </w:rPr>
        <w:t xml:space="preserve"> Профиль «Информационные технологии»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8"/>
          <w:szCs w:val="48"/>
          <w:lang w:val="ru-ru" w:eastAsia="zh-cn" w:bidi="ar-sa"/>
        </w:rPr>
      </w:pPr>
      <w:r>
        <w:rPr>
          <w:b/>
          <w:bCs/>
          <w:sz w:val="48"/>
          <w:szCs w:val="48"/>
          <w:lang w:val="ru-ru" w:eastAsia="zh-cn" w:bidi="ar-sa"/>
        </w:rPr>
        <w:t xml:space="preserve"> Командный кейс № 1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8"/>
          <w:szCs w:val="48"/>
          <w:lang w:val="ru-ru" w:eastAsia="zh-cn" w:bidi="ar-sa"/>
        </w:rPr>
      </w:pPr>
      <w:r>
        <w:rPr>
          <w:b/>
          <w:bCs/>
          <w:sz w:val="48"/>
          <w:szCs w:val="48"/>
          <w:lang w:val="ru-ru" w:eastAsia="zh-cn" w:bidi="ar-sa"/>
        </w:rPr>
        <w:t xml:space="preserve"> «Надёжность вычислительной техники»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6"/>
          <w:szCs w:val="36"/>
          <w:lang w:val="ru-ru" w:eastAsia="zh-cn" w:bidi="ar-sa"/>
        </w:rPr>
      </w:pPr>
      <w:r>
        <w:rPr>
          <w:b/>
          <w:bCs/>
          <w:sz w:val="36"/>
          <w:szCs w:val="36"/>
          <w:lang w:val="ru-ru" w:eastAsia="zh-cn" w:bidi="ar-sa"/>
        </w:rPr>
        <w:t>Выполнили: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Миловидов Михаил Владимирович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Ляхов Тимофей Алексеевич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Васильев Константин Александрович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Никонова Екатерина Владиславовна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40"/>
          <w:szCs w:val="40"/>
          <w:lang w:val="ru-ru" w:eastAsia="zh-cn" w:bidi="ar-sa"/>
        </w:rPr>
      </w:pPr>
      <w:r>
        <w:rPr>
          <w:sz w:val="40"/>
          <w:szCs w:val="40"/>
          <w:lang w:val="ru-ru" w:eastAsia="zh-cn" w:bidi="ar-sa"/>
        </w:rPr>
        <w:t>Лицей г. Троицка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40"/>
          <w:szCs w:val="40"/>
          <w:lang w:val="ru-ru" w:eastAsia="zh-cn" w:bidi="ar-sa"/>
        </w:rPr>
      </w:pPr>
      <w:r>
        <w:rPr>
          <w:sz w:val="40"/>
          <w:szCs w:val="40"/>
          <w:lang w:val="ru-ru" w:eastAsia="zh-cn" w:bidi="ar-sa"/>
        </w:rPr>
        <w:t>Анализ технических требований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Надёжность - важнейшая характеристика вычислительной техники. Знания о показателе надежности необходимы при разработке, производстве и эксплуатации устройств. Надежность сложного устройства зависит от многих факторов, поэтому проще сначала измерить надежность отдельных компонентов. Надежность можно измерить, наблюдая за эксплуатацией и состоянием устройств в рабочих условиях, или же в ходе ускоренных испытаний. </w:t>
      </w:r>
      <w:r>
        <w:rPr>
          <w:color w:val="000000"/>
          <w:sz w:val="28"/>
          <w:szCs w:val="28"/>
          <w:lang w:val="ru-ru" w:eastAsia="zh-cn" w:bidi="ar-sa"/>
        </w:rPr>
        <w:t xml:space="preserve">Ускорение испытания достигают ужесточением (форсированием) воздействия испытательных факторов. Таким образом удается установить зависимость критерия надежности от различных внешних факторов. </w:t>
      </w:r>
      <w:r>
        <w:rPr>
          <w:sz w:val="28"/>
          <w:szCs w:val="28"/>
          <w:lang w:val="ru-ru" w:eastAsia="zh-cn" w:bidi="ar-sa"/>
        </w:rPr>
        <w:t>В качестве объектов испытаний на надежность могут быть выбраны образцы материалов, сборочные единицы приборов, датчики, преобразователи, усилители, измерительные системы, комплексы. Причем это должны быть однотипные объекты, не имеющие конструктивных и других различий, изготовленные по единой технологии и испытываемые в идентичных условиях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. </w:t>
      </w:r>
      <w:r>
        <w:rPr>
          <w:sz w:val="28"/>
          <w:szCs w:val="28"/>
          <w:lang w:val="ru-ru" w:eastAsia="zh-cn" w:bidi="ar-sa"/>
        </w:rPr>
        <w:t>Для создания нужных условий используются испытательные стенды. Рассмотрим два критерия надежности.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1. Интенсивность отказов. Интенсивность отказов</w:t>
      </w:r>
      <w:r>
        <w:rPr>
          <w:color w:val="000000"/>
          <w:sz w:val="28"/>
          <w:szCs w:val="28"/>
          <w:lang w:val="ru-ru" w:eastAsia="zh-cn" w:bidi="ar-sa"/>
        </w:rPr>
        <w:t xml:space="preserve"> — отношение числа отказавших объектов в единицу времени к среднему числу объектов, исправно работающих в данный отрезок времени.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 </w:t>
      </w:r>
      <w:r>
        <w:rPr>
          <w:sz w:val="28"/>
          <w:szCs w:val="28"/>
          <w:lang w:val="ru-ru" w:eastAsia="zh-cn" w:bidi="ar-sa"/>
        </w:rPr>
        <w:t>Большую часть срока службы устройства интенсивность отказов постоянна. В ходе испытаний в идеальных условиях можно получить базовую интенсивность отказов (</w:t>
      </w:r>
      <w:r>
        <w:rPr>
          <w:rFonts w:ascii="Arial" w:hAnsi="Arial" w:eastAsia="SimSun" w:cs="Times New Roman"/>
          <w:color w:val="333333"/>
          <w:sz w:val="24"/>
          <w:lang w:val="ru-ru" w:eastAsia="zh-cn" w:bidi="ar-sa"/>
        </w:rPr>
        <w:t>λ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 </w:t>
      </w:r>
      <w:r>
        <w:rPr>
          <w:sz w:val="28"/>
          <w:szCs w:val="28"/>
          <w:lang w:val="ru-ru" w:eastAsia="zh-cn" w:bidi="ar-sa"/>
        </w:rPr>
        <w:t xml:space="preserve">б.). Во время ускоренных испытаний можно установить зависимость интенсивности отказов от экспериментальных факторов и измерить коэффицент изменения относительно базовой. Таким образом, интенсивность отказов будет равна </w:t>
      </w:r>
      <w:r>
        <w:rPr>
          <w:rFonts w:ascii="Arial" w:hAnsi="Arial" w:eastAsia="SimSun" w:cs="Times New Roman"/>
          <w:color w:val="333333"/>
          <w:sz w:val="24"/>
          <w:lang w:val="ru-ru" w:eastAsia="zh-cn" w:bidi="ar-sa"/>
        </w:rPr>
        <w:t>λ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 </w:t>
      </w:r>
      <w:r>
        <w:rPr>
          <w:sz w:val="28"/>
          <w:szCs w:val="28"/>
          <w:lang w:val="ru-ru" w:eastAsia="zh-cn" w:bidi="ar-sa"/>
        </w:rPr>
        <w:t>б. * K, Коэффицент измеряется для различных значений фактора. Например, базовая интенсивность отказов устройства при 25</w:t>
      </w:r>
      <w:r>
        <w:rPr>
          <w:color w:val="000000"/>
          <w:sz w:val="28"/>
          <w:szCs w:val="28"/>
          <w:lang w:val="ru-ru" w:eastAsia="zh-cn" w:bidi="ar-sa"/>
        </w:rPr>
        <w:t>°</w:t>
      </w:r>
      <w:r>
        <w:rPr>
          <w:color w:val="000000"/>
          <w:sz w:val="28"/>
          <w:szCs w:val="28"/>
          <w:lang w:val="ru-ru" w:eastAsia="zh-cn" w:bidi="ar-sa"/>
        </w:rPr>
        <w:t>C равна 0.1 (10%) в год, а при 60°</w:t>
      </w:r>
      <w:r>
        <w:rPr>
          <w:color w:val="000000"/>
          <w:sz w:val="28"/>
          <w:szCs w:val="28"/>
          <w:lang w:val="ru-ru" w:eastAsia="zh-cn" w:bidi="ar-sa"/>
        </w:rPr>
        <w:t>C — 0.2, коэффицент температуры при 60°</w:t>
      </w:r>
      <w:r>
        <w:rPr>
          <w:color w:val="000000"/>
          <w:sz w:val="28"/>
          <w:szCs w:val="28"/>
          <w:lang w:val="ru-ru" w:eastAsia="zh-cn" w:bidi="ar-sa"/>
        </w:rPr>
        <w:t>C равен 2. В идеальных условиях интенсивность отказов большинства устройств очень мала, но в реальности на нее влияют как множество внешних факторов, так и возмножный брак или неисправности системы.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2.  Срок службы. Срок службы может измеряться разными способами. В данном случае я выбрал гамма-процентный срок службы - время,</w:t>
      </w:r>
      <w:r>
        <w:rPr>
          <w:rFonts w:ascii="Arial" w:hAnsi="Arial" w:eastAsia="SimSun" w:cs="Times New Roman"/>
          <w:color w:val="333333"/>
          <w:sz w:val="24"/>
          <w:lang w:val="ru-ru" w:eastAsia="zh-cn" w:bidi="ar-sa"/>
        </w:rPr>
        <w:t xml:space="preserve"> </w:t>
      </w:r>
      <w:r>
        <w:rPr>
          <w:color w:val="333333"/>
          <w:sz w:val="28"/>
          <w:szCs w:val="28"/>
          <w:lang w:val="ru-ru" w:eastAsia="zh-cn" w:bidi="ar-sa"/>
        </w:rPr>
        <w:t>в течение которой объект не достигнет предельного состояния с заданной вероятностью γ</w:t>
      </w:r>
      <w:r>
        <w:rPr>
          <w:sz w:val="28"/>
          <w:szCs w:val="28"/>
          <w:lang w:val="ru-ru" w:eastAsia="zh-cn" w:bidi="ar-sa"/>
        </w:rPr>
        <w:t>. Например, если T(90%) = 20 лет, то через 20 лет функционировать будут 90% устройств. Такой срок службы так же зависит от различных факторов, как и интенсивность отказов, так что для его расчета можно применять те же коэффиценты.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Для своего проекта я использовал данные из справочника «Надежность ЭРИ» </w:t>
      </w:r>
      <w:hyperlink r:id="rId8" w:history="1">
        <w:r>
          <w:rPr>
            <w:rStyle w:val="char2"/>
            <w:sz w:val="28"/>
            <w:szCs w:val="28"/>
            <w:lang w:val="ru-ru" w:eastAsia="zh-cn" w:bidi="ar-sa"/>
          </w:rPr>
          <w:t>https://areliability.com/wp-content/uploads/2018/08/Intensivnost-otkazov-elektroradioizdelij.pdf</w:t>
        </w:r>
      </w:hyperlink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Проект состоит из главного исполняемого файла main.py, базы данных values.bd и схемы интерфейса mcht2.ui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Схема работы программы: при запуске открывается основное окно, где нужно выбрать устройство (Транзистор, резистор, конденсатор), фактор и критерий надежности (Срок службы или интенсивность отказов). После нажатия на кнопку «Показать график» вызывается функция create_data, которая подключается к базе данных, извлекает нужные данные при помощи sql запроса, обрабатывает их, после чего эти данные выводятся в виде графика в главном окне. Для каждого устройства доступны как общие факторы (емпература, электрическая нагрузка), так и уникальные (нагрузка по напряжению, номинальное сопротивление, номинальная емкость).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Для своего проекта мы выбрали язык python, т.к. в нем просто и удобно работать с данными, а также есть множество полезных библиотек.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В проекте использовались библиотеки: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1. PyQt5 - для создания пользовательского интерфейса, выбора параметров и вывода графика зависимости.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2. sqlite3 - для подключения к базе данных и извлечения информации.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База данных состоит из одной таблицы. В каждой строке содержатся данные зависимости от различных факторов для устройства (Транзистор  - температура, электрическая нагрузка, нагрузка по напряжению; резистор - температура, электрическая нагрузка, номинальное сопротивление; конденсатор - температура, электрическая нагрузка, номинальная емкость)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Ссылка на репозиторий Github: </w:t>
      </w:r>
      <w:hyperlink r:id="rId9" w:history="1">
        <w:r>
          <w:rPr>
            <w:rStyle w:val="char2"/>
            <w:sz w:val="28"/>
            <w:szCs w:val="28"/>
            <w:lang w:val="ru-ru" w:eastAsia="zh-cn" w:bidi="ar-sa"/>
          </w:rPr>
          <w:t>https://github.com/mihailmilovidov/Impulse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cc"/>
    <w:family w:val="modern"/>
    <w:pitch w:val="default"/>
  </w:font>
  <w:font w:name="Cambria">
    <w:panose1 w:val="02040503050406030204"/>
    <w:charset w:val="cc"/>
    <w:family w:val="roman"/>
    <w:pitch w:val="default"/>
  </w:font>
  <w:font w:name="Segoe UI">
    <w:panose1 w:val="020B0502040204020203"/>
    <w:charset w:val="cc"/>
    <w:family w:val="swiss"/>
    <w:pitch w:val="default"/>
  </w:font>
  <w:font w:name="JetBrains Mon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0" w:insDel="0" w:formatting="0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0"/>
    <w:tmReviewPrint w:val="0"/>
    <w:tmRevisionNum w:val="4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1"/>
      <w:tmLastPosIdx w:val="343"/>
    </w:tmLastPosCaret>
    <w:tmLastPosAnchor>
      <w:tmLastPosPgfIdx w:val="0"/>
      <w:tmLastPosIdx w:val="0"/>
    </w:tmLastPosAnchor>
    <w:tmLastPosTblRect w:left="0" w:top="0" w:right="0" w:bottom="0"/>
  </w:tmLastPos>
  <w:tmAppRevision w:date="1645387339" w:val="1042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0"/>
        <w:szCs w:val="20"/>
        <w:lang w:val="ru-ru" w:eastAsia="zh-cn" w:bidi="ar-sa"/>
      </w:rPr>
    </w:rPrDefault>
    <w:pPrDefault>
      <w:pPr>
        <w:spacing w:after="360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4"/>
    <w:pPr>
      <w:spacing w:before="640"/>
      <w:keepNext/>
      <w:outlineLvl w:val="0"/>
      <w:keepLines/>
      <w:pBdr>
        <w:top w:val="nil" w:sz="0" w:space="2" w:color="000000" tmln="20, 20, 20, 0, 40"/>
        <w:left w:val="nil" w:sz="0" w:space="2" w:color="000000" tmln="20, 20, 20, 0, 40"/>
        <w:bottom w:val="single" w:sz="16" w:space="2" w:color="BF0000" tmln="40, 20, 20, 0, 40"/>
        <w:right w:val="nil" w:sz="0" w:space="2" w:color="000000" tmln="20, 20, 20, 0, 40"/>
        <w:between w:val="nil" w:sz="0" w:space="0" w:color="000000" tmln="20, 20, 20, 0, 0"/>
      </w:pBdr>
      <w:shd w:val="none"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4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4"/>
    <w:pPr>
      <w:outlineLvl w:val="2"/>
    </w:pPr>
    <w:rPr>
      <w:sz w:val="28"/>
      <w:szCs w:val="28"/>
    </w:rPr>
    <w:key w:val="1075"/>
  </w:style>
  <w:style w:type="paragraph" w:styleId="para4" w:customStyle="1">
    <w:name w:val="Absätze zusammenhalten"/>
    <w:qFormat/>
    <w:basedOn w:val="para0"/>
    <w:next w:val="para0"/>
    <w:pPr>
      <w:keepNext/>
      <w:keepLines/>
    </w:pPr>
  </w:style>
  <w:style w:type="paragraph" w:styleId="para5">
    <w:name w:val="Title"/>
    <w:qFormat/>
    <w:basedOn w:val="para0"/>
    <w:pPr>
      <w:spacing w:after="0"/>
      <w:outlineLv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BF0000" tmshd="6553856, 191, 16777215"/>
    </w:pPr>
    <w:rPr>
      <w:b/>
      <w:bCs/>
      <w:color w:val="ffffff"/>
      <w:sz w:val="48"/>
      <w:szCs w:val="48"/>
    </w:rPr>
  </w:style>
  <w:style w:type="paragraph" w:styleId="para6">
    <w:name w:val="Subtitle"/>
    <w:qFormat/>
    <w:basedOn w:val="para5"/>
    <w:pPr>
      <w:spacing w:after="60"/>
      <w:outlineLvl w:val="1"/>
    </w:pPr>
    <w:rPr>
      <w:b w:val="0"/>
      <w:bCs w:val="0"/>
      <w:sz w:val="24"/>
      <w:szCs w:val="24"/>
    </w:rPr>
  </w:style>
  <w:style w:type="paragraph" w:styleId="para7">
    <w:name w:val="toc 1"/>
    <w:qFormat/>
    <w:basedOn w:val="para0"/>
    <w:next w:val="para0"/>
    <w:pPr>
      <w:spacing w:after="0"/>
    </w:pPr>
  </w:style>
  <w:style w:type="paragraph" w:styleId="para8">
    <w:name w:val="Footnote Text"/>
    <w:qFormat/>
    <w:basedOn w:val="para0"/>
    <w:pPr>
      <w:spacing w:after="0"/>
    </w:pPr>
  </w:style>
  <w:style w:type="paragraph" w:styleId="para9">
    <w:name w:val="Comment Text"/>
    <w:qFormat/>
    <w:basedOn w:val="para0"/>
    <w:pPr>
      <w:spacing w:after="0"/>
    </w:pPr>
  </w:style>
  <w:style w:type="paragraph" w:styleId="para10">
    <w:name w:val="Comment Subject"/>
    <w:qFormat/>
    <w:basedOn w:val="para9"/>
    <w:next w:val="para9"/>
    <w:rPr>
      <w:b/>
      <w:bCs/>
    </w:r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0"/>
        <w:szCs w:val="20"/>
        <w:lang w:val="ru-ru" w:eastAsia="zh-cn" w:bidi="ar-sa"/>
      </w:rPr>
    </w:rPrDefault>
    <w:pPrDefault>
      <w:pPr>
        <w:spacing w:after="360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4"/>
    <w:pPr>
      <w:spacing w:before="640"/>
      <w:keepNext/>
      <w:outlineLvl w:val="0"/>
      <w:keepLines/>
      <w:pBdr>
        <w:top w:val="nil" w:sz="0" w:space="2" w:color="000000" tmln="20, 20, 20, 0, 40"/>
        <w:left w:val="nil" w:sz="0" w:space="2" w:color="000000" tmln="20, 20, 20, 0, 40"/>
        <w:bottom w:val="single" w:sz="16" w:space="2" w:color="BF0000" tmln="40, 20, 20, 0, 40"/>
        <w:right w:val="nil" w:sz="0" w:space="2" w:color="000000" tmln="20, 20, 20, 0, 40"/>
        <w:between w:val="nil" w:sz="0" w:space="0" w:color="000000" tmln="20, 20, 20, 0, 0"/>
      </w:pBdr>
      <w:shd w:val="none"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4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4"/>
    <w:pPr>
      <w:outlineLvl w:val="2"/>
    </w:pPr>
    <w:rPr>
      <w:sz w:val="28"/>
      <w:szCs w:val="28"/>
    </w:rPr>
    <w:key w:val="1075"/>
  </w:style>
  <w:style w:type="paragraph" w:styleId="para4" w:customStyle="1">
    <w:name w:val="Absätze zusammenhalten"/>
    <w:qFormat/>
    <w:basedOn w:val="para0"/>
    <w:next w:val="para0"/>
    <w:pPr>
      <w:keepNext/>
      <w:keepLines/>
    </w:pPr>
  </w:style>
  <w:style w:type="paragraph" w:styleId="para5">
    <w:name w:val="Title"/>
    <w:qFormat/>
    <w:basedOn w:val="para0"/>
    <w:pPr>
      <w:spacing w:after="0"/>
      <w:outlineLv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BF0000" tmshd="6553856, 191, 16777215"/>
    </w:pPr>
    <w:rPr>
      <w:b/>
      <w:bCs/>
      <w:color w:val="ffffff"/>
      <w:sz w:val="48"/>
      <w:szCs w:val="48"/>
    </w:rPr>
  </w:style>
  <w:style w:type="paragraph" w:styleId="para6">
    <w:name w:val="Subtitle"/>
    <w:qFormat/>
    <w:basedOn w:val="para5"/>
    <w:pPr>
      <w:spacing w:after="60"/>
      <w:outlineLvl w:val="1"/>
    </w:pPr>
    <w:rPr>
      <w:b w:val="0"/>
      <w:bCs w:val="0"/>
      <w:sz w:val="24"/>
      <w:szCs w:val="24"/>
    </w:rPr>
  </w:style>
  <w:style w:type="paragraph" w:styleId="para7">
    <w:name w:val="toc 1"/>
    <w:qFormat/>
    <w:basedOn w:val="para0"/>
    <w:next w:val="para0"/>
    <w:pPr>
      <w:spacing w:after="0"/>
    </w:pPr>
  </w:style>
  <w:style w:type="paragraph" w:styleId="para8">
    <w:name w:val="Footnote Text"/>
    <w:qFormat/>
    <w:basedOn w:val="para0"/>
    <w:pPr>
      <w:spacing w:after="0"/>
    </w:pPr>
  </w:style>
  <w:style w:type="paragraph" w:styleId="para9">
    <w:name w:val="Comment Text"/>
    <w:qFormat/>
    <w:basedOn w:val="para0"/>
    <w:pPr>
      <w:spacing w:after="0"/>
    </w:pPr>
  </w:style>
  <w:style w:type="paragraph" w:styleId="para10">
    <w:name w:val="Comment Subject"/>
    <w:qFormat/>
    <w:basedOn w:val="para9"/>
    <w:next w:val="para9"/>
    <w:rPr>
      <w:b/>
      <w:bCs/>
    </w:r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areliability.com/wp-content/uploads/2018/08/Intensivnost-otkazov-elektroradioizdelij.pdf" TargetMode="External"/><Relationship Id="rId9" Type="http://schemas.openxmlformats.org/officeDocument/2006/relationships/hyperlink" Target="https://github.com/mihailmilovidov/Impu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Добро пожаловать в TextMaker</dc:title>
  <dc:subject/>
  <dc:creator>SoftMaker</dc:creator>
  <cp:keywords/>
  <dc:description>Краткое руководство по началу работу, которое можно редактировать, публиковать и печатать</dc:description>
  <cp:lastModifiedBy/>
  <cp:revision>49</cp:revision>
  <cp:lastPrinted>2020-04-29T08:20:32Z</cp:lastPrinted>
  <dcterms:created xsi:type="dcterms:W3CDTF">2020-04-28T07:58:33Z</dcterms:created>
  <dcterms:modified xsi:type="dcterms:W3CDTF">2022-02-20T20:02:19Z</dcterms:modified>
</cp:coreProperties>
</file>