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D00" w:rsidRDefault="003B3D00" w:rsidP="003B3D00">
      <w:pPr>
        <w:spacing w:after="0" w:line="240" w:lineRule="auto"/>
        <w:rPr>
          <w:rFonts w:ascii="Arial" w:eastAsia="Times New Roman" w:hAnsi="Arial" w:cs="Arial"/>
          <w:b/>
          <w:bCs/>
          <w:sz w:val="28"/>
          <w:szCs w:val="28"/>
        </w:rPr>
      </w:pPr>
      <w:r w:rsidRPr="003B3D00">
        <w:rPr>
          <w:rFonts w:ascii="Arial" w:eastAsia="Times New Roman" w:hAnsi="Arial" w:cs="Arial"/>
          <w:b/>
          <w:bCs/>
          <w:sz w:val="28"/>
          <w:szCs w:val="28"/>
        </w:rPr>
        <w:t>Spatial-Temporal Dynamics of Conflict Mortality: A Multi-Scalar Analysis of the War in Yemen (2015–2026)</w:t>
      </w:r>
    </w:p>
    <w:p w:rsidR="003B3D00" w:rsidRPr="003B3D00" w:rsidRDefault="003B3D00" w:rsidP="003B3D00">
      <w:pPr>
        <w:spacing w:after="0" w:line="240" w:lineRule="auto"/>
        <w:rPr>
          <w:rFonts w:ascii="Arial" w:eastAsia="Times New Roman" w:hAnsi="Arial" w:cs="Arial"/>
          <w:b/>
          <w:bCs/>
          <w:sz w:val="28"/>
          <w:szCs w:val="28"/>
        </w:rPr>
      </w:pPr>
    </w:p>
    <w:p w:rsidR="003B3D00" w:rsidRDefault="003B3D00" w:rsidP="003B3D00">
      <w:pPr>
        <w:spacing w:after="0" w:line="240" w:lineRule="auto"/>
        <w:rPr>
          <w:rFonts w:ascii="Arial" w:eastAsia="Times New Roman" w:hAnsi="Arial" w:cs="Arial"/>
          <w:b/>
          <w:bCs/>
          <w:sz w:val="24"/>
          <w:szCs w:val="24"/>
        </w:rPr>
      </w:pPr>
      <w:r w:rsidRPr="003B3D00">
        <w:rPr>
          <w:rFonts w:ascii="Arial" w:eastAsia="Times New Roman" w:hAnsi="Arial" w:cs="Arial"/>
          <w:b/>
          <w:bCs/>
          <w:sz w:val="24"/>
          <w:szCs w:val="24"/>
        </w:rPr>
        <w:t>1. Executive Summary</w:t>
      </w:r>
    </w:p>
    <w:p w:rsidR="003B3D00" w:rsidRPr="003B3D00" w:rsidRDefault="003B3D00" w:rsidP="003B3D00">
      <w:pPr>
        <w:spacing w:after="0" w:line="240" w:lineRule="auto"/>
        <w:rPr>
          <w:rFonts w:ascii="Arial" w:eastAsia="Times New Roman" w:hAnsi="Arial" w:cs="Arial"/>
          <w:b/>
          <w:bCs/>
          <w:sz w:val="24"/>
          <w:szCs w:val="24"/>
        </w:rPr>
      </w:pPr>
    </w:p>
    <w:p w:rsidR="003B3D00" w:rsidRDefault="003B3D00" w:rsidP="003B3D00">
      <w:pPr>
        <w:spacing w:after="0" w:line="240" w:lineRule="auto"/>
        <w:rPr>
          <w:rFonts w:ascii="Arial" w:eastAsia="Times New Roman" w:hAnsi="Arial" w:cs="Arial"/>
          <w:sz w:val="24"/>
          <w:szCs w:val="24"/>
        </w:rPr>
      </w:pPr>
      <w:r w:rsidRPr="003B3D00">
        <w:rPr>
          <w:rFonts w:ascii="Arial" w:eastAsia="Times New Roman" w:hAnsi="Arial" w:cs="Arial"/>
          <w:sz w:val="24"/>
          <w:szCs w:val="24"/>
        </w:rPr>
        <w:t>This report evaluates the geographic and temporal distribution of conflict-related fatalities in Yemen from the initiation of major external military interventions in early 2015 through mid-2026. Utilizing multi-scalar demographic data aggregated at both the governorate (macro) and district (micro) administrative levels, this analysis tests whether violence was uniformly distributed or structurally concentrated.</w:t>
      </w:r>
    </w:p>
    <w:p w:rsidR="003B3D00" w:rsidRPr="003B3D00" w:rsidRDefault="003B3D00" w:rsidP="003B3D00">
      <w:pPr>
        <w:spacing w:after="0" w:line="240" w:lineRule="auto"/>
        <w:rPr>
          <w:rFonts w:ascii="Arial" w:eastAsia="Times New Roman" w:hAnsi="Arial" w:cs="Arial"/>
          <w:sz w:val="24"/>
          <w:szCs w:val="24"/>
        </w:rPr>
      </w:pPr>
    </w:p>
    <w:p w:rsidR="003B3D00" w:rsidRDefault="003B3D00" w:rsidP="003B3D00">
      <w:pPr>
        <w:spacing w:after="0" w:line="240" w:lineRule="auto"/>
        <w:rPr>
          <w:rFonts w:ascii="Arial" w:eastAsia="Times New Roman" w:hAnsi="Arial" w:cs="Arial"/>
          <w:sz w:val="24"/>
          <w:szCs w:val="24"/>
        </w:rPr>
      </w:pPr>
      <w:r w:rsidRPr="003B3D00">
        <w:rPr>
          <w:rFonts w:ascii="Arial" w:eastAsia="Times New Roman" w:hAnsi="Arial" w:cs="Arial"/>
          <w:sz w:val="24"/>
          <w:szCs w:val="24"/>
        </w:rPr>
        <w:t xml:space="preserve">The empirical findings reveal a conflict characterized by extreme geographic polarization and distinct temporal waves. Refinement of spatial metrics via Lorenz Curves indicates that </w:t>
      </w:r>
      <w:r w:rsidRPr="001C290B">
        <w:rPr>
          <w:rFonts w:ascii="Arial" w:eastAsia="Times New Roman" w:hAnsi="Arial" w:cs="Arial"/>
          <w:sz w:val="24"/>
          <w:szCs w:val="24"/>
        </w:rPr>
        <w:t>10% of municipal districts shouldered nearly 68% of the entire nationwide death toll</w:t>
      </w:r>
      <w:r w:rsidRPr="003B3D00">
        <w:rPr>
          <w:rFonts w:ascii="Arial" w:eastAsia="Times New Roman" w:hAnsi="Arial" w:cs="Arial"/>
          <w:sz w:val="24"/>
          <w:szCs w:val="24"/>
        </w:rPr>
        <w:t xml:space="preserve">, generating a hyper-concentrated </w:t>
      </w:r>
      <w:r w:rsidRPr="001C290B">
        <w:rPr>
          <w:rFonts w:ascii="Arial" w:eastAsia="Times New Roman" w:hAnsi="Arial" w:cs="Arial"/>
          <w:sz w:val="24"/>
          <w:szCs w:val="24"/>
        </w:rPr>
        <w:t>Gini Coefficient of 0.7906</w:t>
      </w:r>
      <w:r w:rsidRPr="003B3D00">
        <w:rPr>
          <w:rFonts w:ascii="Arial" w:eastAsia="Times New Roman" w:hAnsi="Arial" w:cs="Arial"/>
          <w:sz w:val="24"/>
          <w:szCs w:val="24"/>
        </w:rPr>
        <w:t>. Temporally, a clear "truce cliff" in mid-2022 permanently altered the war's trajectory, transitioning the conflict from high-intensity campaigns to a frozen, low-intensity regional equilibrium.</w:t>
      </w:r>
    </w:p>
    <w:p w:rsidR="003B3D00" w:rsidRPr="003B3D00" w:rsidRDefault="003B3D00" w:rsidP="003B3D00">
      <w:pPr>
        <w:spacing w:after="0" w:line="240" w:lineRule="auto"/>
        <w:rPr>
          <w:rFonts w:ascii="Arial" w:eastAsia="Times New Roman" w:hAnsi="Arial" w:cs="Arial"/>
          <w:sz w:val="24"/>
          <w:szCs w:val="24"/>
        </w:rPr>
      </w:pPr>
    </w:p>
    <w:p w:rsidR="003B3D00" w:rsidRDefault="003B3D00" w:rsidP="003B3D00">
      <w:pPr>
        <w:spacing w:after="0" w:line="240" w:lineRule="auto"/>
        <w:rPr>
          <w:rFonts w:ascii="Arial" w:eastAsia="Times New Roman" w:hAnsi="Arial" w:cs="Arial"/>
          <w:b/>
          <w:bCs/>
          <w:sz w:val="24"/>
          <w:szCs w:val="24"/>
        </w:rPr>
      </w:pPr>
      <w:r w:rsidRPr="003B3D00">
        <w:rPr>
          <w:rFonts w:ascii="Arial" w:eastAsia="Times New Roman" w:hAnsi="Arial" w:cs="Arial"/>
          <w:b/>
          <w:bCs/>
          <w:sz w:val="24"/>
          <w:szCs w:val="24"/>
        </w:rPr>
        <w:t>2. Methodology &amp; Spatial Units</w:t>
      </w:r>
    </w:p>
    <w:p w:rsidR="003B3D00" w:rsidRPr="003B3D00" w:rsidRDefault="003B3D00" w:rsidP="003B3D00">
      <w:pPr>
        <w:spacing w:after="0" w:line="240" w:lineRule="auto"/>
        <w:rPr>
          <w:rFonts w:ascii="Arial" w:eastAsia="Times New Roman" w:hAnsi="Arial" w:cs="Arial"/>
          <w:b/>
          <w:bCs/>
          <w:sz w:val="24"/>
          <w:szCs w:val="24"/>
        </w:rPr>
      </w:pPr>
    </w:p>
    <w:p w:rsidR="003B3D00" w:rsidRDefault="003B3D00" w:rsidP="003B3D00">
      <w:pPr>
        <w:spacing w:after="0" w:line="240" w:lineRule="auto"/>
        <w:rPr>
          <w:rFonts w:ascii="Arial" w:eastAsia="Times New Roman" w:hAnsi="Arial" w:cs="Arial"/>
          <w:sz w:val="24"/>
          <w:szCs w:val="24"/>
        </w:rPr>
      </w:pPr>
      <w:r w:rsidRPr="003B3D00">
        <w:rPr>
          <w:rFonts w:ascii="Arial" w:eastAsia="Times New Roman" w:hAnsi="Arial" w:cs="Arial"/>
          <w:sz w:val="24"/>
          <w:szCs w:val="24"/>
        </w:rPr>
        <w:t xml:space="preserve">To eliminate analytical biases associated with spatial aggregation, conflict mortality </w:t>
      </w:r>
      <w:proofErr w:type="gramStart"/>
      <w:r w:rsidRPr="003B3D00">
        <w:rPr>
          <w:rFonts w:ascii="Arial" w:eastAsia="Times New Roman" w:hAnsi="Arial" w:cs="Arial"/>
          <w:sz w:val="24"/>
          <w:szCs w:val="24"/>
        </w:rPr>
        <w:t>was evaluated</w:t>
      </w:r>
      <w:proofErr w:type="gramEnd"/>
      <w:r w:rsidRPr="003B3D00">
        <w:rPr>
          <w:rFonts w:ascii="Arial" w:eastAsia="Times New Roman" w:hAnsi="Arial" w:cs="Arial"/>
          <w:sz w:val="24"/>
          <w:szCs w:val="24"/>
        </w:rPr>
        <w:t xml:space="preserve"> using two separate administrative resolutions across Yemen's 22 Governorates:</w:t>
      </w:r>
    </w:p>
    <w:p w:rsidR="003B3D00" w:rsidRPr="003B3D00" w:rsidRDefault="003B3D00" w:rsidP="003B3D00">
      <w:pPr>
        <w:spacing w:after="0" w:line="240" w:lineRule="auto"/>
        <w:rPr>
          <w:rFonts w:ascii="Arial" w:eastAsia="Times New Roman" w:hAnsi="Arial" w:cs="Arial"/>
          <w:sz w:val="24"/>
          <w:szCs w:val="24"/>
        </w:rPr>
      </w:pPr>
    </w:p>
    <w:p w:rsidR="003B3D00" w:rsidRDefault="003B3D00" w:rsidP="003B3D00">
      <w:pPr>
        <w:pStyle w:val="ListParagraph"/>
        <w:numPr>
          <w:ilvl w:val="0"/>
          <w:numId w:val="3"/>
        </w:numPr>
        <w:spacing w:after="0" w:line="240" w:lineRule="auto"/>
        <w:rPr>
          <w:rFonts w:ascii="Arial" w:eastAsia="Times New Roman" w:hAnsi="Arial" w:cs="Arial"/>
          <w:sz w:val="24"/>
          <w:szCs w:val="24"/>
        </w:rPr>
      </w:pPr>
      <w:r w:rsidRPr="003B3D00">
        <w:rPr>
          <w:rFonts w:ascii="Arial" w:eastAsia="Times New Roman" w:hAnsi="Arial" w:cs="Arial"/>
          <w:b/>
          <w:bCs/>
          <w:sz w:val="24"/>
          <w:szCs w:val="24"/>
        </w:rPr>
        <w:t>Macro-Administrative Level (Governorate):</w:t>
      </w:r>
      <w:r w:rsidRPr="003B3D00">
        <w:rPr>
          <w:rFonts w:ascii="Arial" w:eastAsia="Times New Roman" w:hAnsi="Arial" w:cs="Arial"/>
          <w:sz w:val="24"/>
          <w:szCs w:val="24"/>
        </w:rPr>
        <w:t xml:space="preserve"> Evaluates broad regional balances of power across the country's 22 primary provinces.</w:t>
      </w:r>
    </w:p>
    <w:p w:rsidR="003B3D00" w:rsidRPr="003B3D00" w:rsidRDefault="003B3D00" w:rsidP="003B3D00">
      <w:pPr>
        <w:pStyle w:val="ListParagraph"/>
        <w:numPr>
          <w:ilvl w:val="0"/>
          <w:numId w:val="3"/>
        </w:numPr>
        <w:spacing w:after="0" w:line="240" w:lineRule="auto"/>
        <w:rPr>
          <w:rFonts w:ascii="Arial" w:eastAsia="Times New Roman" w:hAnsi="Arial" w:cs="Arial"/>
          <w:sz w:val="24"/>
          <w:szCs w:val="24"/>
        </w:rPr>
      </w:pPr>
      <w:r w:rsidRPr="003B3D00">
        <w:rPr>
          <w:rFonts w:ascii="Arial" w:eastAsia="Times New Roman" w:hAnsi="Arial" w:cs="Arial"/>
          <w:b/>
          <w:bCs/>
          <w:sz w:val="24"/>
          <w:szCs w:val="24"/>
        </w:rPr>
        <w:t>Micro-Administrative Level (District):</w:t>
      </w:r>
      <w:r w:rsidRPr="003B3D00">
        <w:rPr>
          <w:rFonts w:ascii="Arial" w:eastAsia="Times New Roman" w:hAnsi="Arial" w:cs="Arial"/>
          <w:sz w:val="24"/>
          <w:szCs w:val="24"/>
        </w:rPr>
        <w:t xml:space="preserve"> Evaluates local municipal environments across </w:t>
      </w:r>
      <w:r>
        <w:rPr>
          <w:rFonts w:ascii="Arial" w:eastAsia="Times New Roman" w:hAnsi="Arial" w:cs="Arial"/>
          <w:sz w:val="24"/>
          <w:szCs w:val="24"/>
        </w:rPr>
        <w:t>332</w:t>
      </w:r>
      <w:r w:rsidRPr="003B3D00">
        <w:rPr>
          <w:rFonts w:ascii="Arial" w:eastAsia="Times New Roman" w:hAnsi="Arial" w:cs="Arial"/>
          <w:sz w:val="24"/>
          <w:szCs w:val="24"/>
        </w:rPr>
        <w:t xml:space="preserve"> districts to expose inner-province variances.</w:t>
      </w:r>
    </w:p>
    <w:p w:rsidR="003B3D00" w:rsidRDefault="003B3D00" w:rsidP="003B3D00">
      <w:pPr>
        <w:spacing w:after="0" w:line="240" w:lineRule="auto"/>
        <w:rPr>
          <w:rFonts w:ascii="Arial" w:eastAsia="Times New Roman" w:hAnsi="Arial" w:cs="Arial"/>
          <w:sz w:val="24"/>
          <w:szCs w:val="24"/>
        </w:rPr>
      </w:pPr>
    </w:p>
    <w:p w:rsidR="003B3D00" w:rsidRDefault="003B3D00" w:rsidP="003B3D00">
      <w:pPr>
        <w:spacing w:after="0" w:line="240" w:lineRule="auto"/>
        <w:rPr>
          <w:rFonts w:ascii="Arial" w:eastAsia="Times New Roman" w:hAnsi="Arial" w:cs="Arial"/>
          <w:sz w:val="24"/>
          <w:szCs w:val="24"/>
        </w:rPr>
      </w:pPr>
      <w:r w:rsidRPr="003B3D00">
        <w:rPr>
          <w:rFonts w:ascii="Arial" w:eastAsia="Times New Roman" w:hAnsi="Arial" w:cs="Arial"/>
          <w:sz w:val="24"/>
          <w:szCs w:val="24"/>
        </w:rPr>
        <w:t xml:space="preserve">Inequality and concentration of fatalities were mathematically calculated using the </w:t>
      </w:r>
      <w:r w:rsidRPr="001C290B">
        <w:rPr>
          <w:rFonts w:ascii="Arial" w:eastAsia="Times New Roman" w:hAnsi="Arial" w:cs="Arial"/>
          <w:sz w:val="24"/>
          <w:szCs w:val="24"/>
        </w:rPr>
        <w:t>Lorenz Curve</w:t>
      </w:r>
      <w:r w:rsidRPr="003B3D00">
        <w:rPr>
          <w:rFonts w:ascii="Arial" w:eastAsia="Times New Roman" w:hAnsi="Arial" w:cs="Arial"/>
          <w:sz w:val="24"/>
          <w:szCs w:val="24"/>
        </w:rPr>
        <w:t xml:space="preserve"> and integrated via the </w:t>
      </w:r>
      <w:r w:rsidRPr="001C290B">
        <w:rPr>
          <w:rFonts w:ascii="Arial" w:eastAsia="Times New Roman" w:hAnsi="Arial" w:cs="Arial"/>
          <w:sz w:val="24"/>
          <w:szCs w:val="24"/>
        </w:rPr>
        <w:t>Trapezoidal Rule</w:t>
      </w:r>
      <w:r w:rsidRPr="003B3D00">
        <w:rPr>
          <w:rFonts w:ascii="Arial" w:eastAsia="Times New Roman" w:hAnsi="Arial" w:cs="Arial"/>
          <w:sz w:val="24"/>
          <w:szCs w:val="24"/>
        </w:rPr>
        <w:t xml:space="preserve"> to extract definitive </w:t>
      </w:r>
      <w:r w:rsidRPr="001C290B">
        <w:rPr>
          <w:rFonts w:ascii="Arial" w:eastAsia="Times New Roman" w:hAnsi="Arial" w:cs="Arial"/>
          <w:sz w:val="24"/>
          <w:szCs w:val="24"/>
        </w:rPr>
        <w:t>Gini Coefficients</w:t>
      </w:r>
      <w:r>
        <w:rPr>
          <w:rFonts w:ascii="Arial" w:eastAsia="Times New Roman" w:hAnsi="Arial" w:cs="Arial"/>
          <w:sz w:val="24"/>
          <w:szCs w:val="24"/>
        </w:rPr>
        <w:t xml:space="preserve"> (G), where G = </w:t>
      </w:r>
      <w:proofErr w:type="gramStart"/>
      <w:r>
        <w:rPr>
          <w:rFonts w:ascii="Arial" w:eastAsia="Times New Roman" w:hAnsi="Arial" w:cs="Arial"/>
          <w:sz w:val="24"/>
          <w:szCs w:val="24"/>
        </w:rPr>
        <w:t>0</w:t>
      </w:r>
      <w:proofErr w:type="gramEnd"/>
      <w:r w:rsidRPr="003B3D00">
        <w:rPr>
          <w:rFonts w:ascii="Arial" w:eastAsia="Times New Roman" w:hAnsi="Arial" w:cs="Arial"/>
          <w:sz w:val="24"/>
          <w:szCs w:val="24"/>
        </w:rPr>
        <w:t xml:space="preserve"> represents perfect equality (violence evenly spread) a</w:t>
      </w:r>
      <w:r>
        <w:rPr>
          <w:rFonts w:ascii="Arial" w:eastAsia="Times New Roman" w:hAnsi="Arial" w:cs="Arial"/>
          <w:sz w:val="24"/>
          <w:szCs w:val="24"/>
        </w:rPr>
        <w:t>nd G = 1</w:t>
      </w:r>
      <w:r w:rsidRPr="003B3D00">
        <w:rPr>
          <w:rFonts w:ascii="Arial" w:eastAsia="Times New Roman" w:hAnsi="Arial" w:cs="Arial"/>
          <w:sz w:val="24"/>
          <w:szCs w:val="24"/>
        </w:rPr>
        <w:t xml:space="preserve"> represents absolute concentration (all deaths in a single locality).</w:t>
      </w:r>
    </w:p>
    <w:p w:rsidR="003B3D00" w:rsidRPr="003B3D00" w:rsidRDefault="003B3D00" w:rsidP="003B3D00">
      <w:pPr>
        <w:spacing w:after="0" w:line="240" w:lineRule="auto"/>
        <w:rPr>
          <w:rFonts w:ascii="Arial" w:eastAsia="Times New Roman" w:hAnsi="Arial" w:cs="Arial"/>
          <w:sz w:val="24"/>
          <w:szCs w:val="24"/>
        </w:rPr>
      </w:pPr>
    </w:p>
    <w:p w:rsidR="003B3D00" w:rsidRDefault="003B3D00" w:rsidP="003B3D00">
      <w:pPr>
        <w:spacing w:after="0" w:line="240" w:lineRule="auto"/>
        <w:rPr>
          <w:rFonts w:ascii="Arial" w:eastAsia="Times New Roman" w:hAnsi="Arial" w:cs="Arial"/>
          <w:b/>
          <w:bCs/>
          <w:sz w:val="24"/>
          <w:szCs w:val="24"/>
        </w:rPr>
      </w:pPr>
      <w:r w:rsidRPr="003B3D00">
        <w:rPr>
          <w:rFonts w:ascii="Arial" w:eastAsia="Times New Roman" w:hAnsi="Arial" w:cs="Arial"/>
          <w:b/>
          <w:bCs/>
          <w:sz w:val="24"/>
          <w:szCs w:val="24"/>
        </w:rPr>
        <w:t>3. Main Empirical Findings &amp; Results</w:t>
      </w:r>
    </w:p>
    <w:p w:rsidR="003B3D00" w:rsidRPr="003B3D00" w:rsidRDefault="003B3D00" w:rsidP="003B3D00">
      <w:pPr>
        <w:spacing w:after="0" w:line="240" w:lineRule="auto"/>
        <w:rPr>
          <w:rFonts w:ascii="Arial" w:eastAsia="Times New Roman" w:hAnsi="Arial" w:cs="Arial"/>
          <w:b/>
          <w:bCs/>
          <w:sz w:val="24"/>
          <w:szCs w:val="24"/>
        </w:rPr>
      </w:pPr>
    </w:p>
    <w:p w:rsidR="003B3D00" w:rsidRPr="003B3D00" w:rsidRDefault="003B3D00" w:rsidP="003B3D00">
      <w:pPr>
        <w:spacing w:after="0" w:line="240" w:lineRule="auto"/>
        <w:rPr>
          <w:rFonts w:ascii="Arial" w:eastAsia="Times New Roman" w:hAnsi="Arial" w:cs="Arial"/>
          <w:b/>
          <w:bCs/>
          <w:sz w:val="24"/>
          <w:szCs w:val="24"/>
        </w:rPr>
      </w:pPr>
      <w:r w:rsidRPr="003B3D00">
        <w:rPr>
          <w:rFonts w:ascii="Arial" w:eastAsia="Times New Roman" w:hAnsi="Arial" w:cs="Arial"/>
          <w:b/>
          <w:bCs/>
          <w:sz w:val="24"/>
          <w:szCs w:val="24"/>
        </w:rPr>
        <w:t>A. Extreme Spatial Inequality (The Lorenz Shift)</w:t>
      </w:r>
    </w:p>
    <w:p w:rsidR="003B3D00" w:rsidRDefault="003B3D00" w:rsidP="003B3D00">
      <w:pPr>
        <w:spacing w:after="0" w:line="240" w:lineRule="auto"/>
        <w:rPr>
          <w:rFonts w:ascii="Arial" w:eastAsia="Times New Roman" w:hAnsi="Arial" w:cs="Arial"/>
          <w:sz w:val="24"/>
          <w:szCs w:val="24"/>
        </w:rPr>
      </w:pPr>
      <w:r w:rsidRPr="003B3D00">
        <w:rPr>
          <w:rFonts w:ascii="Arial" w:eastAsia="Times New Roman" w:hAnsi="Arial" w:cs="Arial"/>
          <w:sz w:val="24"/>
          <w:szCs w:val="24"/>
        </w:rPr>
        <w:t>The distribution of lethal kinetic violence across Yemen was structurally uneven, functioning as a series of localized enclave battles rather than a broad, uniform civil war.</w:t>
      </w:r>
    </w:p>
    <w:p w:rsidR="003B3D00" w:rsidRDefault="003B3D00" w:rsidP="003B3D00">
      <w:pPr>
        <w:spacing w:before="480" w:after="480" w:line="240" w:lineRule="auto"/>
        <w:rPr>
          <w:rFonts w:ascii="Arial" w:eastAsia="Times New Roman" w:hAnsi="Arial" w:cs="Arial"/>
          <w:b/>
          <w:bCs/>
          <w:sz w:val="24"/>
          <w:szCs w:val="24"/>
        </w:rPr>
      </w:pPr>
    </w:p>
    <w:p w:rsidR="006057FE" w:rsidRPr="006057FE" w:rsidRDefault="006057FE" w:rsidP="006057FE">
      <w:pPr>
        <w:pStyle w:val="ListParagraph"/>
        <w:spacing w:before="480" w:after="480" w:line="240" w:lineRule="auto"/>
        <w:rPr>
          <w:rFonts w:ascii="Arial" w:eastAsia="Times New Roman" w:hAnsi="Arial" w:cs="Arial"/>
          <w:sz w:val="24"/>
          <w:szCs w:val="24"/>
        </w:rPr>
      </w:pPr>
    </w:p>
    <w:p w:rsidR="006057FE" w:rsidRPr="006057FE" w:rsidRDefault="003B3D00" w:rsidP="003B3D00">
      <w:pPr>
        <w:pStyle w:val="ListParagraph"/>
        <w:numPr>
          <w:ilvl w:val="0"/>
          <w:numId w:val="4"/>
        </w:numPr>
        <w:spacing w:before="480" w:after="480" w:line="240" w:lineRule="auto"/>
        <w:rPr>
          <w:rFonts w:ascii="Arial" w:eastAsia="Times New Roman" w:hAnsi="Arial" w:cs="Arial"/>
          <w:sz w:val="24"/>
          <w:szCs w:val="24"/>
        </w:rPr>
      </w:pPr>
      <w:r>
        <w:rPr>
          <w:rFonts w:ascii="Arial" w:eastAsia="Times New Roman" w:hAnsi="Arial" w:cs="Arial"/>
          <w:b/>
          <w:bCs/>
          <w:sz w:val="24"/>
          <w:szCs w:val="24"/>
        </w:rPr>
        <w:lastRenderedPageBreak/>
        <w:t>Governorate-Scale Disparity (G = 0.5684</w:t>
      </w:r>
      <w:r w:rsidR="006057FE">
        <w:rPr>
          <w:rFonts w:ascii="Arial" w:eastAsia="Times New Roman" w:hAnsi="Arial" w:cs="Arial"/>
          <w:b/>
          <w:bCs/>
          <w:sz w:val="24"/>
          <w:szCs w:val="24"/>
        </w:rPr>
        <w:t>)</w:t>
      </w:r>
    </w:p>
    <w:p w:rsidR="006057FE" w:rsidRDefault="006057FE" w:rsidP="006057FE">
      <w:pPr>
        <w:pStyle w:val="ListParagraph"/>
        <w:spacing w:before="480" w:after="480" w:line="240" w:lineRule="auto"/>
        <w:rPr>
          <w:rFonts w:ascii="Arial" w:eastAsia="Times New Roman" w:hAnsi="Arial" w:cs="Arial"/>
          <w:b/>
          <w:bCs/>
          <w:sz w:val="24"/>
          <w:szCs w:val="24"/>
        </w:rPr>
      </w:pPr>
      <w:r w:rsidRPr="006057FE">
        <w:rPr>
          <w:rFonts w:ascii="Arial" w:eastAsia="Times New Roman" w:hAnsi="Arial" w:cs="Arial"/>
          <w:sz w:val="24"/>
          <w:szCs w:val="24"/>
        </w:rPr>
        <w:drawing>
          <wp:anchor distT="0" distB="0" distL="114300" distR="114300" simplePos="0" relativeHeight="251658240" behindDoc="1" locked="0" layoutInCell="1" allowOverlap="1" wp14:anchorId="052737ED" wp14:editId="4C992CBB">
            <wp:simplePos x="0" y="0"/>
            <wp:positionH relativeFrom="column">
              <wp:posOffset>349333</wp:posOffset>
            </wp:positionH>
            <wp:positionV relativeFrom="paragraph">
              <wp:posOffset>52402</wp:posOffset>
            </wp:positionV>
            <wp:extent cx="3086735" cy="28346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6735" cy="2834640"/>
                    </a:xfrm>
                    <a:prstGeom prst="rect">
                      <a:avLst/>
                    </a:prstGeom>
                  </pic:spPr>
                </pic:pic>
              </a:graphicData>
            </a:graphic>
          </wp:anchor>
        </w:drawing>
      </w:r>
    </w:p>
    <w:p w:rsidR="006057FE" w:rsidRDefault="006057FE" w:rsidP="006057FE">
      <w:pPr>
        <w:pStyle w:val="ListParagraph"/>
        <w:spacing w:before="480" w:after="480" w:line="240" w:lineRule="auto"/>
        <w:rPr>
          <w:rFonts w:ascii="Arial" w:eastAsia="Times New Roman" w:hAnsi="Arial" w:cs="Arial"/>
          <w:b/>
          <w:bCs/>
          <w:sz w:val="24"/>
          <w:szCs w:val="24"/>
        </w:rPr>
      </w:pPr>
    </w:p>
    <w:p w:rsidR="003B3D00" w:rsidRDefault="003B3D00" w:rsidP="006057FE">
      <w:pPr>
        <w:pStyle w:val="ListParagraph"/>
        <w:spacing w:before="480" w:after="480" w:line="240" w:lineRule="auto"/>
        <w:rPr>
          <w:rFonts w:ascii="Arial" w:eastAsia="Times New Roman" w:hAnsi="Arial" w:cs="Arial"/>
          <w:sz w:val="24"/>
          <w:szCs w:val="24"/>
        </w:rPr>
      </w:pPr>
      <w:r w:rsidRPr="003B3D00">
        <w:rPr>
          <w:rFonts w:ascii="Arial" w:eastAsia="Times New Roman" w:hAnsi="Arial" w:cs="Arial"/>
          <w:sz w:val="24"/>
          <w:szCs w:val="24"/>
        </w:rPr>
        <w:t xml:space="preserve">At the macro level, a mere </w:t>
      </w:r>
      <w:proofErr w:type="gramStart"/>
      <w:r w:rsidRPr="003B3D00">
        <w:rPr>
          <w:rFonts w:ascii="Arial" w:eastAsia="Times New Roman" w:hAnsi="Arial" w:cs="Arial"/>
          <w:sz w:val="24"/>
          <w:szCs w:val="24"/>
        </w:rPr>
        <w:t>5</w:t>
      </w:r>
      <w:proofErr w:type="gramEnd"/>
      <w:r w:rsidRPr="003B3D00">
        <w:rPr>
          <w:rFonts w:ascii="Arial" w:eastAsia="Times New Roman" w:hAnsi="Arial" w:cs="Arial"/>
          <w:sz w:val="24"/>
          <w:szCs w:val="24"/>
        </w:rPr>
        <w:t xml:space="preserve"> governorates (</w:t>
      </w:r>
      <w:proofErr w:type="spellStart"/>
      <w:r w:rsidRPr="003B3D00">
        <w:rPr>
          <w:rFonts w:ascii="Arial" w:eastAsia="Times New Roman" w:hAnsi="Arial" w:cs="Arial"/>
          <w:b/>
          <w:bCs/>
          <w:sz w:val="24"/>
          <w:szCs w:val="24"/>
        </w:rPr>
        <w:t>Marib</w:t>
      </w:r>
      <w:proofErr w:type="spellEnd"/>
      <w:r w:rsidRPr="003B3D00">
        <w:rPr>
          <w:rFonts w:ascii="Arial" w:eastAsia="Times New Roman" w:hAnsi="Arial" w:cs="Arial"/>
          <w:b/>
          <w:bCs/>
          <w:sz w:val="24"/>
          <w:szCs w:val="24"/>
        </w:rPr>
        <w:t xml:space="preserve">, </w:t>
      </w:r>
      <w:proofErr w:type="spellStart"/>
      <w:r w:rsidRPr="003B3D00">
        <w:rPr>
          <w:rFonts w:ascii="Arial" w:eastAsia="Times New Roman" w:hAnsi="Arial" w:cs="Arial"/>
          <w:b/>
          <w:bCs/>
          <w:sz w:val="24"/>
          <w:szCs w:val="24"/>
        </w:rPr>
        <w:t>Taiz</w:t>
      </w:r>
      <w:proofErr w:type="spellEnd"/>
      <w:r w:rsidRPr="003B3D00">
        <w:rPr>
          <w:rFonts w:ascii="Arial" w:eastAsia="Times New Roman" w:hAnsi="Arial" w:cs="Arial"/>
          <w:b/>
          <w:bCs/>
          <w:sz w:val="24"/>
          <w:szCs w:val="24"/>
        </w:rPr>
        <w:t xml:space="preserve">, </w:t>
      </w:r>
      <w:proofErr w:type="spellStart"/>
      <w:r w:rsidRPr="003B3D00">
        <w:rPr>
          <w:rFonts w:ascii="Arial" w:eastAsia="Times New Roman" w:hAnsi="Arial" w:cs="Arial"/>
          <w:b/>
          <w:bCs/>
          <w:sz w:val="24"/>
          <w:szCs w:val="24"/>
        </w:rPr>
        <w:t>Sa'dah</w:t>
      </w:r>
      <w:proofErr w:type="spellEnd"/>
      <w:r w:rsidRPr="003B3D00">
        <w:rPr>
          <w:rFonts w:ascii="Arial" w:eastAsia="Times New Roman" w:hAnsi="Arial" w:cs="Arial"/>
          <w:b/>
          <w:bCs/>
          <w:sz w:val="24"/>
          <w:szCs w:val="24"/>
        </w:rPr>
        <w:t xml:space="preserve">, Al </w:t>
      </w:r>
      <w:proofErr w:type="spellStart"/>
      <w:r w:rsidRPr="003B3D00">
        <w:rPr>
          <w:rFonts w:ascii="Arial" w:eastAsia="Times New Roman" w:hAnsi="Arial" w:cs="Arial"/>
          <w:b/>
          <w:bCs/>
          <w:sz w:val="24"/>
          <w:szCs w:val="24"/>
        </w:rPr>
        <w:t>Hudaydah</w:t>
      </w:r>
      <w:proofErr w:type="spellEnd"/>
      <w:r w:rsidRPr="003B3D00">
        <w:rPr>
          <w:rFonts w:ascii="Arial" w:eastAsia="Times New Roman" w:hAnsi="Arial" w:cs="Arial"/>
          <w:b/>
          <w:bCs/>
          <w:sz w:val="24"/>
          <w:szCs w:val="24"/>
        </w:rPr>
        <w:t xml:space="preserve">, and Al </w:t>
      </w:r>
      <w:proofErr w:type="spellStart"/>
      <w:r w:rsidRPr="003B3D00">
        <w:rPr>
          <w:rFonts w:ascii="Arial" w:eastAsia="Times New Roman" w:hAnsi="Arial" w:cs="Arial"/>
          <w:b/>
          <w:bCs/>
          <w:sz w:val="24"/>
          <w:szCs w:val="24"/>
        </w:rPr>
        <w:t>Jawf</w:t>
      </w:r>
      <w:proofErr w:type="spellEnd"/>
      <w:r w:rsidRPr="003B3D00">
        <w:rPr>
          <w:rFonts w:ascii="Arial" w:eastAsia="Times New Roman" w:hAnsi="Arial" w:cs="Arial"/>
          <w:sz w:val="24"/>
          <w:szCs w:val="24"/>
        </w:rPr>
        <w:t xml:space="preserve">) accounted for approximately </w:t>
      </w:r>
      <w:r w:rsidRPr="003B3D00">
        <w:rPr>
          <w:rFonts w:ascii="Arial" w:eastAsia="Times New Roman" w:hAnsi="Arial" w:cs="Arial"/>
          <w:b/>
          <w:bCs/>
          <w:sz w:val="24"/>
          <w:szCs w:val="24"/>
        </w:rPr>
        <w:t>62% (~101,500 deaths)</w:t>
      </w:r>
      <w:r w:rsidRPr="003B3D00">
        <w:rPr>
          <w:rFonts w:ascii="Arial" w:eastAsia="Times New Roman" w:hAnsi="Arial" w:cs="Arial"/>
          <w:sz w:val="24"/>
          <w:szCs w:val="24"/>
        </w:rPr>
        <w:t xml:space="preserve"> of the ~164,000 total recorded fatalities. The top 10 governorates captured roughly </w:t>
      </w:r>
      <w:r w:rsidRPr="003B3D00">
        <w:rPr>
          <w:rFonts w:ascii="Arial" w:eastAsia="Times New Roman" w:hAnsi="Arial" w:cs="Arial"/>
          <w:b/>
          <w:bCs/>
          <w:sz w:val="24"/>
          <w:szCs w:val="24"/>
        </w:rPr>
        <w:t>89% (~146,000 deaths)</w:t>
      </w:r>
      <w:r w:rsidRPr="003B3D00">
        <w:rPr>
          <w:rFonts w:ascii="Arial" w:eastAsia="Times New Roman" w:hAnsi="Arial" w:cs="Arial"/>
          <w:sz w:val="24"/>
          <w:szCs w:val="24"/>
        </w:rPr>
        <w:t>, leaving the remaining 12 governorates to split a minor 11% slice of nationwide fatalities.</w:t>
      </w:r>
    </w:p>
    <w:p w:rsidR="006057FE" w:rsidRDefault="006057FE" w:rsidP="006057FE">
      <w:pPr>
        <w:pStyle w:val="ListParagraph"/>
        <w:spacing w:before="480" w:after="480" w:line="240" w:lineRule="auto"/>
        <w:rPr>
          <w:rFonts w:ascii="Arial" w:eastAsia="Times New Roman" w:hAnsi="Arial" w:cs="Arial"/>
          <w:sz w:val="24"/>
          <w:szCs w:val="24"/>
        </w:rPr>
      </w:pPr>
    </w:p>
    <w:p w:rsidR="006057FE" w:rsidRDefault="006057FE" w:rsidP="006057FE">
      <w:pPr>
        <w:spacing w:after="0" w:line="240" w:lineRule="auto"/>
        <w:rPr>
          <w:rFonts w:ascii="Arial" w:eastAsia="Times New Roman" w:hAnsi="Arial" w:cs="Arial"/>
          <w:b/>
          <w:bCs/>
          <w:sz w:val="24"/>
          <w:szCs w:val="24"/>
        </w:rPr>
      </w:pPr>
    </w:p>
    <w:p w:rsidR="006057FE" w:rsidRPr="006057FE" w:rsidRDefault="003B3D00" w:rsidP="006057FE">
      <w:pPr>
        <w:pStyle w:val="ListParagraph"/>
        <w:numPr>
          <w:ilvl w:val="0"/>
          <w:numId w:val="10"/>
        </w:numPr>
        <w:spacing w:after="0" w:line="240" w:lineRule="auto"/>
        <w:rPr>
          <w:rFonts w:ascii="Arial" w:eastAsia="Times New Roman" w:hAnsi="Arial" w:cs="Arial"/>
          <w:sz w:val="24"/>
          <w:szCs w:val="24"/>
        </w:rPr>
      </w:pPr>
      <w:r w:rsidRPr="006057FE">
        <w:rPr>
          <w:rFonts w:ascii="Arial" w:eastAsia="Times New Roman" w:hAnsi="Arial" w:cs="Arial"/>
          <w:b/>
          <w:bCs/>
          <w:sz w:val="24"/>
          <w:szCs w:val="24"/>
        </w:rPr>
        <w:t>District-Scale Hyper-Concentration (G = 0.7906</w:t>
      </w:r>
      <w:r w:rsidR="006057FE" w:rsidRPr="006057FE">
        <w:rPr>
          <w:rFonts w:ascii="Arial" w:eastAsia="Times New Roman" w:hAnsi="Arial" w:cs="Arial"/>
          <w:b/>
          <w:bCs/>
          <w:sz w:val="24"/>
          <w:szCs w:val="24"/>
        </w:rPr>
        <w:t>)</w:t>
      </w:r>
      <w:r w:rsidRPr="006057FE">
        <w:rPr>
          <w:rFonts w:ascii="Arial" w:eastAsia="Times New Roman" w:hAnsi="Arial" w:cs="Arial"/>
          <w:sz w:val="24"/>
          <w:szCs w:val="24"/>
        </w:rPr>
        <w:t xml:space="preserve"> </w:t>
      </w:r>
    </w:p>
    <w:p w:rsidR="006057FE" w:rsidRDefault="006057FE" w:rsidP="006057FE">
      <w:pPr>
        <w:spacing w:after="0" w:line="240" w:lineRule="auto"/>
        <w:rPr>
          <w:rFonts w:ascii="Arial" w:eastAsia="Times New Roman" w:hAnsi="Arial" w:cs="Arial"/>
          <w:sz w:val="24"/>
          <w:szCs w:val="24"/>
        </w:rPr>
      </w:pPr>
      <w:r w:rsidRPr="006057FE">
        <w:drawing>
          <wp:anchor distT="0" distB="0" distL="114300" distR="114300" simplePos="0" relativeHeight="251659264" behindDoc="1" locked="0" layoutInCell="1" allowOverlap="1" wp14:anchorId="4608FB6A" wp14:editId="61A1F097">
            <wp:simplePos x="0" y="0"/>
            <wp:positionH relativeFrom="column">
              <wp:posOffset>294005</wp:posOffset>
            </wp:positionH>
            <wp:positionV relativeFrom="paragraph">
              <wp:posOffset>66675</wp:posOffset>
            </wp:positionV>
            <wp:extent cx="2997200" cy="28346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7200" cy="2834640"/>
                    </a:xfrm>
                    <a:prstGeom prst="rect">
                      <a:avLst/>
                    </a:prstGeom>
                  </pic:spPr>
                </pic:pic>
              </a:graphicData>
            </a:graphic>
            <wp14:sizeRelH relativeFrom="margin">
              <wp14:pctWidth>0</wp14:pctWidth>
            </wp14:sizeRelH>
          </wp:anchor>
        </w:drawing>
      </w:r>
    </w:p>
    <w:p w:rsidR="006057FE" w:rsidRDefault="006057FE" w:rsidP="006057FE">
      <w:pPr>
        <w:spacing w:after="0" w:line="240" w:lineRule="auto"/>
        <w:rPr>
          <w:rFonts w:ascii="Arial" w:eastAsia="Times New Roman" w:hAnsi="Arial" w:cs="Arial"/>
          <w:sz w:val="24"/>
          <w:szCs w:val="24"/>
        </w:rPr>
      </w:pPr>
    </w:p>
    <w:p w:rsidR="006057FE" w:rsidRDefault="006057FE" w:rsidP="006057FE">
      <w:pPr>
        <w:spacing w:after="0" w:line="240" w:lineRule="auto"/>
        <w:rPr>
          <w:rFonts w:ascii="Arial" w:eastAsia="Times New Roman" w:hAnsi="Arial" w:cs="Arial"/>
          <w:sz w:val="24"/>
          <w:szCs w:val="24"/>
        </w:rPr>
      </w:pPr>
    </w:p>
    <w:p w:rsidR="003B3D00" w:rsidRPr="006057FE" w:rsidRDefault="003B3D00" w:rsidP="006057FE">
      <w:pPr>
        <w:spacing w:after="0" w:line="240" w:lineRule="auto"/>
        <w:rPr>
          <w:rFonts w:ascii="Arial" w:eastAsia="Times New Roman" w:hAnsi="Arial" w:cs="Arial"/>
          <w:sz w:val="24"/>
          <w:szCs w:val="24"/>
        </w:rPr>
      </w:pPr>
      <w:r w:rsidRPr="006057FE">
        <w:rPr>
          <w:rFonts w:ascii="Arial" w:eastAsia="Times New Roman" w:hAnsi="Arial" w:cs="Arial"/>
          <w:sz w:val="24"/>
          <w:szCs w:val="24"/>
        </w:rPr>
        <w:t>Ref</w:t>
      </w:r>
      <w:r w:rsidR="006057FE">
        <w:rPr>
          <w:rFonts w:ascii="Arial" w:eastAsia="Times New Roman" w:hAnsi="Arial" w:cs="Arial"/>
          <w:sz w:val="24"/>
          <w:szCs w:val="24"/>
        </w:rPr>
        <w:t>ining the data down to district</w:t>
      </w:r>
      <w:r w:rsidRPr="006057FE">
        <w:rPr>
          <w:rFonts w:ascii="Arial" w:eastAsia="Times New Roman" w:hAnsi="Arial" w:cs="Arial"/>
          <w:sz w:val="24"/>
          <w:szCs w:val="24"/>
        </w:rPr>
        <w:t xml:space="preserve"> boundaries exposes a severe Modifiable Areal Unit Problem (MAUP) in standard conflict tracking. The district-level Lorenz Curve reveals that the bottom 75% of districts in Yemen combined accounted for a mere ~10% of fatalities. Conversely, a tiny 10% elite bracket of strategic districts absorbed roughly 68% of all conflict mortality.</w:t>
      </w:r>
    </w:p>
    <w:p w:rsidR="006057FE" w:rsidRDefault="006057FE" w:rsidP="006057FE">
      <w:pPr>
        <w:pStyle w:val="ListParagraph"/>
        <w:spacing w:after="0" w:line="240" w:lineRule="auto"/>
        <w:rPr>
          <w:rFonts w:ascii="Arial" w:eastAsia="Times New Roman" w:hAnsi="Arial" w:cs="Arial"/>
          <w:b/>
          <w:bCs/>
          <w:sz w:val="24"/>
          <w:szCs w:val="24"/>
        </w:rPr>
      </w:pPr>
    </w:p>
    <w:p w:rsidR="006057FE" w:rsidRPr="001C290B" w:rsidRDefault="006057FE" w:rsidP="006057FE">
      <w:pPr>
        <w:pStyle w:val="ListParagraph"/>
        <w:spacing w:after="0" w:line="240" w:lineRule="auto"/>
        <w:rPr>
          <w:rFonts w:ascii="Arial" w:eastAsia="Times New Roman" w:hAnsi="Arial" w:cs="Arial"/>
          <w:sz w:val="24"/>
          <w:szCs w:val="24"/>
        </w:rPr>
      </w:pPr>
    </w:p>
    <w:p w:rsidR="002F03CE" w:rsidRDefault="002F03CE" w:rsidP="001C290B">
      <w:pPr>
        <w:spacing w:after="0" w:line="240" w:lineRule="auto"/>
        <w:rPr>
          <w:rFonts w:ascii="Arial" w:eastAsia="Times New Roman" w:hAnsi="Arial" w:cs="Arial"/>
          <w:sz w:val="24"/>
          <w:szCs w:val="24"/>
        </w:rPr>
      </w:pPr>
    </w:p>
    <w:p w:rsidR="006057FE" w:rsidRDefault="006057FE" w:rsidP="002F03CE">
      <w:pPr>
        <w:spacing w:after="0" w:line="240" w:lineRule="auto"/>
        <w:rPr>
          <w:rFonts w:ascii="Arial" w:eastAsia="Times New Roman" w:hAnsi="Arial" w:cs="Arial"/>
          <w:sz w:val="24"/>
          <w:szCs w:val="24"/>
        </w:rPr>
      </w:pPr>
    </w:p>
    <w:p w:rsidR="003B3D00" w:rsidRPr="003B3D00" w:rsidRDefault="003B3D00" w:rsidP="002F03CE">
      <w:pPr>
        <w:spacing w:after="0" w:line="240" w:lineRule="auto"/>
        <w:rPr>
          <w:rFonts w:ascii="Arial" w:eastAsia="Times New Roman" w:hAnsi="Arial" w:cs="Arial"/>
          <w:sz w:val="24"/>
          <w:szCs w:val="24"/>
        </w:rPr>
      </w:pPr>
      <w:r w:rsidRPr="003B3D00">
        <w:rPr>
          <w:rFonts w:ascii="Arial" w:eastAsia="Times New Roman" w:hAnsi="Arial" w:cs="Arial"/>
          <w:sz w:val="24"/>
          <w:szCs w:val="24"/>
        </w:rPr>
        <w:t>This mathematical surge proves that even within heavily embattled governorates, vast stretches of land remained insulated from direct combat.</w:t>
      </w:r>
    </w:p>
    <w:p w:rsidR="002F03CE" w:rsidRPr="001C290B" w:rsidRDefault="002F03CE" w:rsidP="002F03CE">
      <w:pPr>
        <w:spacing w:after="0" w:line="240" w:lineRule="auto"/>
        <w:rPr>
          <w:rFonts w:ascii="Arial" w:eastAsia="Times New Roman" w:hAnsi="Arial" w:cs="Arial"/>
          <w:b/>
          <w:bCs/>
          <w:sz w:val="24"/>
          <w:szCs w:val="24"/>
        </w:rPr>
      </w:pPr>
    </w:p>
    <w:p w:rsidR="003B3D00" w:rsidRPr="003B3D00" w:rsidRDefault="003B3D00" w:rsidP="002F03CE">
      <w:pPr>
        <w:spacing w:after="0" w:line="240" w:lineRule="auto"/>
        <w:rPr>
          <w:rFonts w:ascii="Arial" w:eastAsia="Times New Roman" w:hAnsi="Arial" w:cs="Arial"/>
          <w:b/>
          <w:bCs/>
          <w:sz w:val="24"/>
          <w:szCs w:val="24"/>
        </w:rPr>
      </w:pPr>
      <w:r w:rsidRPr="003B3D00">
        <w:rPr>
          <w:rFonts w:ascii="Arial" w:eastAsia="Times New Roman" w:hAnsi="Arial" w:cs="Arial"/>
          <w:b/>
          <w:bCs/>
          <w:sz w:val="24"/>
          <w:szCs w:val="24"/>
        </w:rPr>
        <w:t>B. High-Frequency Temporal Volatility</w:t>
      </w:r>
    </w:p>
    <w:p w:rsidR="003B3D00" w:rsidRDefault="003B3D00" w:rsidP="002F03CE">
      <w:pPr>
        <w:spacing w:after="0" w:line="240" w:lineRule="auto"/>
        <w:rPr>
          <w:rFonts w:ascii="Arial" w:eastAsia="Times New Roman" w:hAnsi="Arial" w:cs="Arial"/>
          <w:sz w:val="24"/>
          <w:szCs w:val="24"/>
        </w:rPr>
      </w:pPr>
      <w:r w:rsidRPr="003B3D00">
        <w:rPr>
          <w:rFonts w:ascii="Arial" w:eastAsia="Times New Roman" w:hAnsi="Arial" w:cs="Arial"/>
          <w:sz w:val="24"/>
          <w:szCs w:val="24"/>
        </w:rPr>
        <w:t>Temporal tracking from 2015 to 2026 across annual and monthly bounds confirms that violence operated in intense, volatile tactical waves aimed at shifting these spatial chokepoints:</w:t>
      </w:r>
    </w:p>
    <w:p w:rsidR="002F03CE" w:rsidRDefault="00D0048C" w:rsidP="002F03CE">
      <w:pPr>
        <w:spacing w:after="0" w:line="240" w:lineRule="auto"/>
        <w:rPr>
          <w:rFonts w:ascii="Arial" w:eastAsia="Times New Roman" w:hAnsi="Arial" w:cs="Arial"/>
          <w:sz w:val="24"/>
          <w:szCs w:val="24"/>
        </w:rPr>
      </w:pPr>
      <w:r w:rsidRPr="00D0048C">
        <w:rPr>
          <w:rFonts w:ascii="Arial" w:eastAsia="Times New Roman" w:hAnsi="Arial" w:cs="Arial"/>
          <w:sz w:val="24"/>
          <w:szCs w:val="24"/>
        </w:rPr>
        <w:lastRenderedPageBreak/>
        <w:drawing>
          <wp:inline distT="0" distB="0" distL="0" distR="0" wp14:anchorId="35CAB53F" wp14:editId="001B9E6D">
            <wp:extent cx="5760720" cy="3349957"/>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49957"/>
                    </a:xfrm>
                    <a:prstGeom prst="rect">
                      <a:avLst/>
                    </a:prstGeom>
                  </pic:spPr>
                </pic:pic>
              </a:graphicData>
            </a:graphic>
          </wp:inline>
        </w:drawing>
      </w:r>
    </w:p>
    <w:p w:rsidR="00D0048C" w:rsidRDefault="00D0048C" w:rsidP="002F03CE">
      <w:pPr>
        <w:spacing w:after="0" w:line="240" w:lineRule="auto"/>
        <w:rPr>
          <w:rFonts w:ascii="Arial" w:eastAsia="Times New Roman" w:hAnsi="Arial" w:cs="Arial"/>
          <w:sz w:val="24"/>
          <w:szCs w:val="24"/>
        </w:rPr>
      </w:pPr>
      <w:r w:rsidRPr="00D0048C">
        <w:rPr>
          <w:rFonts w:ascii="Arial" w:eastAsia="Times New Roman" w:hAnsi="Arial" w:cs="Arial"/>
          <w:sz w:val="24"/>
          <w:szCs w:val="24"/>
        </w:rPr>
        <w:drawing>
          <wp:inline distT="0" distB="0" distL="0" distR="0" wp14:anchorId="70D2DE83" wp14:editId="5B81233E">
            <wp:extent cx="5943600" cy="2917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17190"/>
                    </a:xfrm>
                    <a:prstGeom prst="rect">
                      <a:avLst/>
                    </a:prstGeom>
                  </pic:spPr>
                </pic:pic>
              </a:graphicData>
            </a:graphic>
          </wp:inline>
        </w:drawing>
      </w:r>
    </w:p>
    <w:p w:rsidR="002F03CE" w:rsidRPr="002F03CE" w:rsidRDefault="002F03CE" w:rsidP="002F03CE">
      <w:pPr>
        <w:pStyle w:val="ListParagraph"/>
        <w:numPr>
          <w:ilvl w:val="0"/>
          <w:numId w:val="5"/>
        </w:numPr>
        <w:spacing w:after="0" w:line="240" w:lineRule="auto"/>
        <w:rPr>
          <w:rFonts w:ascii="Arial" w:eastAsia="Times New Roman" w:hAnsi="Arial" w:cs="Arial"/>
          <w:b/>
          <w:bCs/>
          <w:sz w:val="24"/>
          <w:szCs w:val="24"/>
        </w:rPr>
      </w:pPr>
      <w:r w:rsidRPr="002F03CE">
        <w:rPr>
          <w:rFonts w:ascii="Arial" w:eastAsia="Times New Roman" w:hAnsi="Arial" w:cs="Arial"/>
          <w:b/>
          <w:bCs/>
          <w:sz w:val="24"/>
          <w:szCs w:val="24"/>
        </w:rPr>
        <w:t>Temporal Conflict Phases:</w:t>
      </w:r>
    </w:p>
    <w:p w:rsidR="002F03CE" w:rsidRPr="002F03CE" w:rsidRDefault="002F03CE" w:rsidP="002F03CE">
      <w:pPr>
        <w:pStyle w:val="ListParagraph"/>
        <w:numPr>
          <w:ilvl w:val="1"/>
          <w:numId w:val="5"/>
        </w:numPr>
        <w:spacing w:after="0" w:line="240" w:lineRule="auto"/>
        <w:rPr>
          <w:rFonts w:asciiTheme="minorBidi" w:eastAsia="Times New Roman" w:hAnsiTheme="minorBidi"/>
          <w:sz w:val="24"/>
          <w:szCs w:val="24"/>
        </w:rPr>
      </w:pPr>
      <w:r w:rsidRPr="006057FE">
        <w:rPr>
          <w:rFonts w:asciiTheme="minorBidi" w:hAnsiTheme="minorBidi"/>
        </w:rPr>
        <w:t>[2015–2017] Baseline Attrition</w:t>
      </w:r>
      <w:r w:rsidRPr="002F03CE">
        <w:rPr>
          <w:rFonts w:asciiTheme="minorBidi" w:hAnsiTheme="minorBidi"/>
        </w:rPr>
        <w:t xml:space="preserve"> --&gt; Constant air/gr</w:t>
      </w:r>
      <w:r w:rsidRPr="002F03CE">
        <w:rPr>
          <w:rFonts w:asciiTheme="minorBidi" w:hAnsiTheme="minorBidi"/>
        </w:rPr>
        <w:t>ound campaigns (~16k deaths/</w:t>
      </w:r>
      <w:proofErr w:type="spellStart"/>
      <w:r w:rsidRPr="002F03CE">
        <w:rPr>
          <w:rFonts w:asciiTheme="minorBidi" w:hAnsiTheme="minorBidi"/>
        </w:rPr>
        <w:t>yr</w:t>
      </w:r>
      <w:proofErr w:type="spellEnd"/>
      <w:r w:rsidRPr="002F03CE">
        <w:rPr>
          <w:rFonts w:asciiTheme="minorBidi" w:hAnsiTheme="minorBidi"/>
        </w:rPr>
        <w:t>)</w:t>
      </w:r>
    </w:p>
    <w:p w:rsidR="002F03CE" w:rsidRPr="002F03CE" w:rsidRDefault="002F03CE" w:rsidP="002F03CE">
      <w:pPr>
        <w:pStyle w:val="ListParagraph"/>
        <w:numPr>
          <w:ilvl w:val="1"/>
          <w:numId w:val="5"/>
        </w:numPr>
        <w:spacing w:after="0" w:line="240" w:lineRule="auto"/>
        <w:rPr>
          <w:rFonts w:asciiTheme="minorBidi" w:eastAsia="Times New Roman" w:hAnsiTheme="minorBidi"/>
          <w:sz w:val="24"/>
          <w:szCs w:val="24"/>
        </w:rPr>
      </w:pPr>
      <w:r w:rsidRPr="006057FE">
        <w:rPr>
          <w:rFonts w:asciiTheme="minorBidi" w:hAnsiTheme="minorBidi"/>
        </w:rPr>
        <w:t>[2018] The Escalation</w:t>
      </w:r>
      <w:r w:rsidRPr="002F03CE">
        <w:rPr>
          <w:rFonts w:asciiTheme="minorBidi" w:hAnsiTheme="minorBidi"/>
          <w:i/>
          <w:iCs/>
        </w:rPr>
        <w:t xml:space="preserve"> Peak</w:t>
      </w:r>
      <w:r w:rsidRPr="002F03CE">
        <w:rPr>
          <w:rFonts w:asciiTheme="minorBidi" w:hAnsiTheme="minorBidi"/>
        </w:rPr>
        <w:t xml:space="preserve"> --&gt; Battle of Al </w:t>
      </w:r>
      <w:proofErr w:type="spellStart"/>
      <w:r w:rsidRPr="002F03CE">
        <w:rPr>
          <w:rFonts w:asciiTheme="minorBidi" w:hAnsiTheme="minorBidi"/>
        </w:rPr>
        <w:t>Hudaydah</w:t>
      </w:r>
      <w:proofErr w:type="spellEnd"/>
      <w:r w:rsidRPr="002F03CE">
        <w:rPr>
          <w:rFonts w:asciiTheme="minorBidi" w:hAnsiTheme="minorBidi"/>
        </w:rPr>
        <w:t xml:space="preserve"> Port City (~33.5k deaths) </w:t>
      </w:r>
    </w:p>
    <w:p w:rsidR="002F03CE" w:rsidRPr="002F03CE" w:rsidRDefault="002F03CE" w:rsidP="002F03CE">
      <w:pPr>
        <w:pStyle w:val="ListParagraph"/>
        <w:numPr>
          <w:ilvl w:val="1"/>
          <w:numId w:val="5"/>
        </w:numPr>
        <w:spacing w:after="0" w:line="240" w:lineRule="auto"/>
        <w:rPr>
          <w:rFonts w:asciiTheme="minorBidi" w:eastAsia="Times New Roman" w:hAnsiTheme="minorBidi"/>
          <w:sz w:val="24"/>
          <w:szCs w:val="24"/>
        </w:rPr>
      </w:pPr>
      <w:r w:rsidRPr="006057FE">
        <w:rPr>
          <w:rFonts w:asciiTheme="minorBidi" w:hAnsiTheme="minorBidi"/>
        </w:rPr>
        <w:t>[2019–2021] The Attrition Plateau</w:t>
      </w:r>
      <w:r w:rsidRPr="002F03CE">
        <w:rPr>
          <w:rFonts w:asciiTheme="minorBidi" w:hAnsiTheme="minorBidi"/>
        </w:rPr>
        <w:t xml:space="preserve"> --&gt; Protracted battles for </w:t>
      </w:r>
      <w:proofErr w:type="spellStart"/>
      <w:r w:rsidRPr="002F03CE">
        <w:rPr>
          <w:rFonts w:asciiTheme="minorBidi" w:hAnsiTheme="minorBidi"/>
        </w:rPr>
        <w:t>Marib</w:t>
      </w:r>
      <w:proofErr w:type="spellEnd"/>
      <w:r w:rsidRPr="002F03CE">
        <w:rPr>
          <w:rFonts w:asciiTheme="minorBidi" w:hAnsiTheme="minorBidi"/>
        </w:rPr>
        <w:t xml:space="preserve"> Energy Hub </w:t>
      </w:r>
    </w:p>
    <w:p w:rsidR="002C3B78" w:rsidRPr="002F03CE" w:rsidRDefault="002F03CE" w:rsidP="002F03CE">
      <w:pPr>
        <w:pStyle w:val="ListParagraph"/>
        <w:numPr>
          <w:ilvl w:val="1"/>
          <w:numId w:val="5"/>
        </w:numPr>
        <w:spacing w:after="0" w:line="240" w:lineRule="auto"/>
        <w:rPr>
          <w:rFonts w:asciiTheme="minorBidi" w:eastAsia="Times New Roman" w:hAnsiTheme="minorBidi"/>
          <w:sz w:val="24"/>
          <w:szCs w:val="24"/>
        </w:rPr>
      </w:pPr>
      <w:r w:rsidRPr="006057FE">
        <w:rPr>
          <w:rFonts w:asciiTheme="minorBidi" w:hAnsiTheme="minorBidi"/>
        </w:rPr>
        <w:t>[2022–2026] The Truce Cliff</w:t>
      </w:r>
      <w:r w:rsidRPr="002F03CE">
        <w:rPr>
          <w:rFonts w:asciiTheme="minorBidi" w:hAnsiTheme="minorBidi"/>
        </w:rPr>
        <w:t xml:space="preserve"> --&gt; Post-April 2022 UN Truce floor (&lt;3k deaths/</w:t>
      </w:r>
      <w:proofErr w:type="spellStart"/>
      <w:r w:rsidRPr="002F03CE">
        <w:rPr>
          <w:rFonts w:asciiTheme="minorBidi" w:hAnsiTheme="minorBidi"/>
        </w:rPr>
        <w:t>yr</w:t>
      </w:r>
      <w:proofErr w:type="spellEnd"/>
      <w:r w:rsidRPr="002F03CE">
        <w:rPr>
          <w:rFonts w:asciiTheme="minorBidi" w:hAnsiTheme="minorBidi"/>
        </w:rPr>
        <w:t>)</w:t>
      </w:r>
    </w:p>
    <w:p w:rsidR="006057FE" w:rsidRPr="006057FE" w:rsidRDefault="006057FE" w:rsidP="006057FE">
      <w:pPr>
        <w:pStyle w:val="ListParagraph"/>
        <w:spacing w:after="0" w:line="240" w:lineRule="auto"/>
        <w:rPr>
          <w:rFonts w:ascii="Times New Roman" w:eastAsia="Times New Roman" w:hAnsi="Times New Roman" w:cs="Times New Roman"/>
          <w:sz w:val="24"/>
          <w:szCs w:val="24"/>
        </w:rPr>
      </w:pPr>
    </w:p>
    <w:p w:rsidR="002F03CE" w:rsidRPr="002F03CE" w:rsidRDefault="002F03CE" w:rsidP="002F03CE">
      <w:pPr>
        <w:pStyle w:val="ListParagraph"/>
        <w:numPr>
          <w:ilvl w:val="0"/>
          <w:numId w:val="5"/>
        </w:numPr>
        <w:spacing w:after="0" w:line="240" w:lineRule="auto"/>
        <w:rPr>
          <w:rFonts w:ascii="Times New Roman" w:eastAsia="Times New Roman" w:hAnsi="Times New Roman" w:cs="Times New Roman"/>
          <w:sz w:val="24"/>
          <w:szCs w:val="24"/>
        </w:rPr>
      </w:pPr>
      <w:r w:rsidRPr="002F03CE">
        <w:rPr>
          <w:rFonts w:ascii="Arial" w:eastAsia="Times New Roman" w:hAnsi="Arial" w:cs="Arial"/>
          <w:b/>
          <w:bCs/>
          <w:sz w:val="24"/>
          <w:szCs w:val="24"/>
        </w:rPr>
        <w:t>The 2018 Urban Zenith:</w:t>
      </w:r>
      <w:r w:rsidRPr="002F03CE">
        <w:rPr>
          <w:rFonts w:ascii="Arial" w:eastAsia="Times New Roman" w:hAnsi="Arial" w:cs="Arial"/>
          <w:sz w:val="24"/>
          <w:szCs w:val="24"/>
        </w:rPr>
        <w:t xml:space="preserve"> The monthly timeline reveals that the absolute peak of the war occurred in late 2018, where monthly fatalities broke </w:t>
      </w:r>
      <w:r w:rsidRPr="002F03CE">
        <w:rPr>
          <w:rFonts w:ascii="Arial" w:eastAsia="Times New Roman" w:hAnsi="Arial" w:cs="Arial"/>
          <w:b/>
          <w:bCs/>
          <w:sz w:val="24"/>
          <w:szCs w:val="24"/>
        </w:rPr>
        <w:t>3,500 deaths/month</w:t>
      </w:r>
      <w:r w:rsidRPr="002F03CE">
        <w:rPr>
          <w:rFonts w:ascii="Arial" w:eastAsia="Times New Roman" w:hAnsi="Arial" w:cs="Arial"/>
          <w:sz w:val="24"/>
          <w:szCs w:val="24"/>
        </w:rPr>
        <w:t xml:space="preserve"> during </w:t>
      </w:r>
      <w:r w:rsidRPr="002F03CE">
        <w:rPr>
          <w:rFonts w:ascii="Arial" w:eastAsia="Times New Roman" w:hAnsi="Arial" w:cs="Arial"/>
          <w:i/>
          <w:iCs/>
          <w:sz w:val="24"/>
          <w:szCs w:val="24"/>
        </w:rPr>
        <w:t>Operation Golden Victory</w:t>
      </w:r>
      <w:r>
        <w:rPr>
          <w:rFonts w:ascii="Arial" w:eastAsia="Times New Roman" w:hAnsi="Arial" w:cs="Arial"/>
          <w:sz w:val="24"/>
          <w:szCs w:val="24"/>
        </w:rPr>
        <w:t xml:space="preserve">, </w:t>
      </w:r>
      <w:r w:rsidRPr="002F03CE">
        <w:rPr>
          <w:rFonts w:ascii="Arial" w:eastAsia="Times New Roman" w:hAnsi="Arial" w:cs="Arial"/>
          <w:sz w:val="24"/>
          <w:szCs w:val="24"/>
        </w:rPr>
        <w:t xml:space="preserve">the intense offensive to capture the vital humanitarian and commercial Red Sea port of Al </w:t>
      </w:r>
      <w:proofErr w:type="spellStart"/>
      <w:r w:rsidRPr="002F03CE">
        <w:rPr>
          <w:rFonts w:ascii="Arial" w:eastAsia="Times New Roman" w:hAnsi="Arial" w:cs="Arial"/>
          <w:sz w:val="24"/>
          <w:szCs w:val="24"/>
        </w:rPr>
        <w:t>Hudaydah</w:t>
      </w:r>
      <w:proofErr w:type="spellEnd"/>
      <w:r w:rsidRPr="002F03CE">
        <w:rPr>
          <w:rFonts w:ascii="Arial" w:eastAsia="Times New Roman" w:hAnsi="Arial" w:cs="Arial"/>
          <w:sz w:val="24"/>
          <w:szCs w:val="24"/>
        </w:rPr>
        <w:t>.</w:t>
      </w:r>
    </w:p>
    <w:p w:rsidR="002F03CE" w:rsidRDefault="002F03CE" w:rsidP="002F03CE">
      <w:pPr>
        <w:pStyle w:val="ListParagraph"/>
        <w:numPr>
          <w:ilvl w:val="0"/>
          <w:numId w:val="5"/>
        </w:numPr>
        <w:spacing w:after="0" w:line="240" w:lineRule="auto"/>
        <w:rPr>
          <w:rFonts w:ascii="Arial" w:eastAsia="Times New Roman" w:hAnsi="Arial" w:cs="Arial"/>
          <w:sz w:val="24"/>
          <w:szCs w:val="24"/>
        </w:rPr>
      </w:pPr>
      <w:r w:rsidRPr="002F03CE">
        <w:rPr>
          <w:rFonts w:ascii="Arial" w:eastAsia="Times New Roman" w:hAnsi="Arial" w:cs="Arial"/>
          <w:b/>
          <w:bCs/>
          <w:sz w:val="24"/>
          <w:szCs w:val="24"/>
        </w:rPr>
        <w:lastRenderedPageBreak/>
        <w:t>The 2022 "Truce Cliff":</w:t>
      </w:r>
      <w:r w:rsidRPr="002F03CE">
        <w:rPr>
          <w:rFonts w:ascii="Arial" w:eastAsia="Times New Roman" w:hAnsi="Arial" w:cs="Arial"/>
          <w:sz w:val="24"/>
          <w:szCs w:val="24"/>
        </w:rPr>
        <w:t xml:space="preserve"> Following the implementation of the UN-brokered nationwide ceasefire in April 2022, monthly deaths fell off a precipitous cliff, dropping from roughly 2,000 per month to a flat, permanent floor </w:t>
      </w:r>
      <w:r w:rsidRPr="002F03CE">
        <w:rPr>
          <w:rFonts w:ascii="Arial" w:eastAsia="Times New Roman" w:hAnsi="Arial" w:cs="Arial"/>
          <w:b/>
          <w:bCs/>
          <w:sz w:val="24"/>
          <w:szCs w:val="24"/>
        </w:rPr>
        <w:t>below 250 deaths/month</w:t>
      </w:r>
      <w:r w:rsidRPr="002F03CE">
        <w:rPr>
          <w:rFonts w:ascii="Arial" w:eastAsia="Times New Roman" w:hAnsi="Arial" w:cs="Arial"/>
          <w:sz w:val="24"/>
          <w:szCs w:val="24"/>
        </w:rPr>
        <w:t xml:space="preserve"> that sustained all the way through mid-2026.</w:t>
      </w:r>
    </w:p>
    <w:p w:rsidR="002F03CE" w:rsidRDefault="002F03CE" w:rsidP="002F03CE">
      <w:pPr>
        <w:spacing w:after="0" w:line="240" w:lineRule="auto"/>
        <w:rPr>
          <w:rFonts w:ascii="Arial" w:eastAsia="Times New Roman" w:hAnsi="Arial" w:cs="Arial"/>
          <w:sz w:val="24"/>
          <w:szCs w:val="24"/>
        </w:rPr>
      </w:pPr>
    </w:p>
    <w:p w:rsidR="002F03CE" w:rsidRPr="002F03CE" w:rsidRDefault="002F03CE" w:rsidP="001C290B">
      <w:pPr>
        <w:spacing w:after="0" w:line="240" w:lineRule="auto"/>
        <w:rPr>
          <w:rFonts w:ascii="Arial" w:eastAsia="Times New Roman" w:hAnsi="Arial" w:cs="Arial"/>
          <w:b/>
          <w:bCs/>
          <w:sz w:val="24"/>
          <w:szCs w:val="24"/>
        </w:rPr>
      </w:pPr>
      <w:r w:rsidRPr="002F03CE">
        <w:rPr>
          <w:rFonts w:ascii="Arial" w:eastAsia="Times New Roman" w:hAnsi="Arial" w:cs="Arial"/>
          <w:b/>
          <w:bCs/>
          <w:sz w:val="24"/>
          <w:szCs w:val="24"/>
        </w:rPr>
        <w:t>4. Key Strategic Drivers</w:t>
      </w:r>
    </w:p>
    <w:p w:rsidR="001C290B" w:rsidRDefault="001C290B" w:rsidP="001C290B">
      <w:pPr>
        <w:spacing w:after="0" w:line="240" w:lineRule="auto"/>
        <w:rPr>
          <w:rFonts w:ascii="Arial" w:eastAsia="Times New Roman" w:hAnsi="Arial" w:cs="Arial"/>
          <w:sz w:val="24"/>
          <w:szCs w:val="24"/>
        </w:rPr>
      </w:pPr>
      <w:bookmarkStart w:id="0" w:name="_GoBack"/>
      <w:bookmarkEnd w:id="0"/>
    </w:p>
    <w:p w:rsidR="001C290B" w:rsidRDefault="002F03CE" w:rsidP="001C290B">
      <w:pPr>
        <w:spacing w:after="0" w:line="240" w:lineRule="auto"/>
        <w:rPr>
          <w:rFonts w:ascii="Arial" w:eastAsia="Times New Roman" w:hAnsi="Arial" w:cs="Arial"/>
          <w:sz w:val="24"/>
          <w:szCs w:val="24"/>
        </w:rPr>
      </w:pPr>
      <w:r w:rsidRPr="002F03CE">
        <w:rPr>
          <w:rFonts w:ascii="Arial" w:eastAsia="Times New Roman" w:hAnsi="Arial" w:cs="Arial"/>
          <w:sz w:val="24"/>
          <w:szCs w:val="24"/>
        </w:rPr>
        <w:t>The data shows that conflict mortality was a direct variable of resource geography. The hotspots driving the 0.7906 Gini index match specific economic and political targets:</w:t>
      </w:r>
    </w:p>
    <w:p w:rsidR="001C290B" w:rsidRDefault="001C290B" w:rsidP="001C290B">
      <w:pPr>
        <w:spacing w:after="0" w:line="240" w:lineRule="auto"/>
        <w:rPr>
          <w:rFonts w:ascii="Arial" w:eastAsia="Times New Roman" w:hAnsi="Arial" w:cs="Arial"/>
          <w:sz w:val="24"/>
          <w:szCs w:val="24"/>
        </w:rPr>
      </w:pPr>
    </w:p>
    <w:p w:rsidR="001C290B" w:rsidRDefault="002F03CE" w:rsidP="001C290B">
      <w:pPr>
        <w:pStyle w:val="ListParagraph"/>
        <w:numPr>
          <w:ilvl w:val="0"/>
          <w:numId w:val="8"/>
        </w:numPr>
        <w:spacing w:line="240" w:lineRule="auto"/>
        <w:rPr>
          <w:rFonts w:ascii="Arial" w:eastAsia="Times New Roman" w:hAnsi="Arial" w:cs="Arial"/>
          <w:sz w:val="24"/>
          <w:szCs w:val="24"/>
        </w:rPr>
      </w:pPr>
      <w:r w:rsidRPr="001C290B">
        <w:rPr>
          <w:rFonts w:ascii="Arial" w:eastAsia="Times New Roman" w:hAnsi="Arial" w:cs="Arial"/>
          <w:b/>
          <w:bCs/>
          <w:sz w:val="24"/>
          <w:szCs w:val="24"/>
        </w:rPr>
        <w:t>Economic Hubs (</w:t>
      </w:r>
      <w:proofErr w:type="spellStart"/>
      <w:r w:rsidRPr="001C290B">
        <w:rPr>
          <w:rFonts w:ascii="Arial" w:eastAsia="Times New Roman" w:hAnsi="Arial" w:cs="Arial"/>
          <w:b/>
          <w:bCs/>
          <w:sz w:val="24"/>
          <w:szCs w:val="24"/>
        </w:rPr>
        <w:t>Marib</w:t>
      </w:r>
      <w:proofErr w:type="spellEnd"/>
      <w:r w:rsidRPr="001C290B">
        <w:rPr>
          <w:rFonts w:ascii="Arial" w:eastAsia="Times New Roman" w:hAnsi="Arial" w:cs="Arial"/>
          <w:b/>
          <w:bCs/>
          <w:sz w:val="24"/>
          <w:szCs w:val="24"/>
        </w:rPr>
        <w:t>):</w:t>
      </w:r>
      <w:r w:rsidRPr="001C290B">
        <w:rPr>
          <w:rFonts w:ascii="Arial" w:eastAsia="Times New Roman" w:hAnsi="Arial" w:cs="Arial"/>
          <w:sz w:val="24"/>
          <w:szCs w:val="24"/>
        </w:rPr>
        <w:t xml:space="preserve"> High-attrition desert warfare centered heavily </w:t>
      </w:r>
      <w:r w:rsidR="001C290B" w:rsidRPr="001C290B">
        <w:rPr>
          <w:rFonts w:ascii="Arial" w:eastAsia="Times New Roman" w:hAnsi="Arial" w:cs="Arial"/>
          <w:sz w:val="24"/>
          <w:szCs w:val="24"/>
        </w:rPr>
        <w:t>on</w:t>
      </w:r>
      <w:r w:rsidRPr="001C290B">
        <w:rPr>
          <w:rFonts w:ascii="Arial" w:eastAsia="Times New Roman" w:hAnsi="Arial" w:cs="Arial"/>
          <w:sz w:val="24"/>
          <w:szCs w:val="24"/>
        </w:rPr>
        <w:t xml:space="preserve"> capturing Yemen's primary domestic oil and gas fields.</w:t>
      </w:r>
    </w:p>
    <w:p w:rsidR="001C290B" w:rsidRDefault="002F03CE" w:rsidP="001C290B">
      <w:pPr>
        <w:pStyle w:val="ListParagraph"/>
        <w:numPr>
          <w:ilvl w:val="0"/>
          <w:numId w:val="8"/>
        </w:numPr>
        <w:spacing w:line="240" w:lineRule="auto"/>
        <w:rPr>
          <w:rFonts w:ascii="Arial" w:eastAsia="Times New Roman" w:hAnsi="Arial" w:cs="Arial"/>
          <w:sz w:val="24"/>
          <w:szCs w:val="24"/>
        </w:rPr>
      </w:pPr>
      <w:r w:rsidRPr="001C290B">
        <w:rPr>
          <w:rFonts w:ascii="Arial" w:eastAsia="Times New Roman" w:hAnsi="Arial" w:cs="Arial"/>
          <w:b/>
          <w:bCs/>
          <w:sz w:val="24"/>
          <w:szCs w:val="24"/>
        </w:rPr>
        <w:t xml:space="preserve">Logistical Lifelines (Al </w:t>
      </w:r>
      <w:proofErr w:type="spellStart"/>
      <w:r w:rsidRPr="001C290B">
        <w:rPr>
          <w:rFonts w:ascii="Arial" w:eastAsia="Times New Roman" w:hAnsi="Arial" w:cs="Arial"/>
          <w:b/>
          <w:bCs/>
          <w:sz w:val="24"/>
          <w:szCs w:val="24"/>
        </w:rPr>
        <w:t>Hudaydah</w:t>
      </w:r>
      <w:proofErr w:type="spellEnd"/>
      <w:r w:rsidRPr="001C290B">
        <w:rPr>
          <w:rFonts w:ascii="Arial" w:eastAsia="Times New Roman" w:hAnsi="Arial" w:cs="Arial"/>
          <w:b/>
          <w:bCs/>
          <w:sz w:val="24"/>
          <w:szCs w:val="24"/>
        </w:rPr>
        <w:t>):</w:t>
      </w:r>
      <w:r w:rsidRPr="001C290B">
        <w:rPr>
          <w:rFonts w:ascii="Arial" w:eastAsia="Times New Roman" w:hAnsi="Arial" w:cs="Arial"/>
          <w:sz w:val="24"/>
          <w:szCs w:val="24"/>
        </w:rPr>
        <w:t xml:space="preserve"> Port infrastructure serving as the maritime entrance point for national food and aid supplies turned the province into a vital tactical chokepoint.</w:t>
      </w:r>
    </w:p>
    <w:p w:rsidR="001C290B" w:rsidRDefault="002F03CE" w:rsidP="001C290B">
      <w:pPr>
        <w:pStyle w:val="ListParagraph"/>
        <w:numPr>
          <w:ilvl w:val="0"/>
          <w:numId w:val="8"/>
        </w:numPr>
        <w:spacing w:line="240" w:lineRule="auto"/>
        <w:rPr>
          <w:rFonts w:ascii="Arial" w:eastAsia="Times New Roman" w:hAnsi="Arial" w:cs="Arial"/>
          <w:sz w:val="24"/>
          <w:szCs w:val="24"/>
        </w:rPr>
      </w:pPr>
      <w:r w:rsidRPr="001C290B">
        <w:rPr>
          <w:rFonts w:ascii="Arial" w:eastAsia="Times New Roman" w:hAnsi="Arial" w:cs="Arial"/>
          <w:b/>
          <w:bCs/>
          <w:sz w:val="24"/>
          <w:szCs w:val="24"/>
        </w:rPr>
        <w:t>Ideological Strongholds (</w:t>
      </w:r>
      <w:proofErr w:type="spellStart"/>
      <w:r w:rsidRPr="001C290B">
        <w:rPr>
          <w:rFonts w:ascii="Arial" w:eastAsia="Times New Roman" w:hAnsi="Arial" w:cs="Arial"/>
          <w:b/>
          <w:bCs/>
          <w:sz w:val="24"/>
          <w:szCs w:val="24"/>
        </w:rPr>
        <w:t>Sa'dah</w:t>
      </w:r>
      <w:proofErr w:type="spellEnd"/>
      <w:r w:rsidRPr="001C290B">
        <w:rPr>
          <w:rFonts w:ascii="Arial" w:eastAsia="Times New Roman" w:hAnsi="Arial" w:cs="Arial"/>
          <w:b/>
          <w:bCs/>
          <w:sz w:val="24"/>
          <w:szCs w:val="24"/>
        </w:rPr>
        <w:t>):</w:t>
      </w:r>
      <w:r w:rsidRPr="001C290B">
        <w:rPr>
          <w:rFonts w:ascii="Arial" w:eastAsia="Times New Roman" w:hAnsi="Arial" w:cs="Arial"/>
          <w:sz w:val="24"/>
          <w:szCs w:val="24"/>
        </w:rPr>
        <w:t xml:space="preserve"> Proximity to the northern border and its status as the Houthi movement's core base made it a target for constant, heavy aerial bombardment.</w:t>
      </w:r>
    </w:p>
    <w:p w:rsidR="002F03CE" w:rsidRPr="001C290B" w:rsidRDefault="002F03CE" w:rsidP="001C290B">
      <w:pPr>
        <w:pStyle w:val="ListParagraph"/>
        <w:numPr>
          <w:ilvl w:val="0"/>
          <w:numId w:val="8"/>
        </w:numPr>
        <w:spacing w:after="0" w:line="240" w:lineRule="auto"/>
        <w:rPr>
          <w:rFonts w:ascii="Arial" w:eastAsia="Times New Roman" w:hAnsi="Arial" w:cs="Arial"/>
          <w:sz w:val="24"/>
          <w:szCs w:val="24"/>
        </w:rPr>
      </w:pPr>
      <w:r w:rsidRPr="001C290B">
        <w:rPr>
          <w:rFonts w:ascii="Arial" w:eastAsia="Times New Roman" w:hAnsi="Arial" w:cs="Arial"/>
          <w:b/>
          <w:bCs/>
          <w:sz w:val="24"/>
          <w:szCs w:val="24"/>
        </w:rPr>
        <w:t>Geopolitical Crossroad Sieges (</w:t>
      </w:r>
      <w:proofErr w:type="spellStart"/>
      <w:r w:rsidRPr="001C290B">
        <w:rPr>
          <w:rFonts w:ascii="Arial" w:eastAsia="Times New Roman" w:hAnsi="Arial" w:cs="Arial"/>
          <w:b/>
          <w:bCs/>
          <w:sz w:val="24"/>
          <w:szCs w:val="24"/>
        </w:rPr>
        <w:t>Taiz</w:t>
      </w:r>
      <w:proofErr w:type="spellEnd"/>
      <w:r w:rsidRPr="001C290B">
        <w:rPr>
          <w:rFonts w:ascii="Arial" w:eastAsia="Times New Roman" w:hAnsi="Arial" w:cs="Arial"/>
          <w:b/>
          <w:bCs/>
          <w:sz w:val="24"/>
          <w:szCs w:val="24"/>
        </w:rPr>
        <w:t>):</w:t>
      </w:r>
      <w:r w:rsidRPr="001C290B">
        <w:rPr>
          <w:rFonts w:ascii="Arial" w:eastAsia="Times New Roman" w:hAnsi="Arial" w:cs="Arial"/>
          <w:sz w:val="24"/>
          <w:szCs w:val="24"/>
        </w:rPr>
        <w:t xml:space="preserve"> Yemen's third-largest city suffered continuous high-density urban casualties due to a catastrophic, multi-year chokehold over the roads linking northern and southern territory.</w:t>
      </w:r>
    </w:p>
    <w:p w:rsidR="001C290B" w:rsidRPr="001C290B" w:rsidRDefault="001C290B" w:rsidP="001C290B">
      <w:pPr>
        <w:spacing w:after="0" w:line="240" w:lineRule="auto"/>
        <w:rPr>
          <w:rFonts w:ascii="Arial" w:eastAsia="Times New Roman" w:hAnsi="Arial" w:cs="Arial"/>
          <w:b/>
          <w:bCs/>
          <w:sz w:val="24"/>
          <w:szCs w:val="24"/>
        </w:rPr>
      </w:pPr>
    </w:p>
    <w:p w:rsidR="002F03CE" w:rsidRDefault="002F03CE" w:rsidP="001C290B">
      <w:pPr>
        <w:spacing w:after="0" w:line="240" w:lineRule="auto"/>
        <w:rPr>
          <w:rFonts w:ascii="Arial" w:eastAsia="Times New Roman" w:hAnsi="Arial" w:cs="Arial"/>
          <w:b/>
          <w:bCs/>
          <w:sz w:val="24"/>
          <w:szCs w:val="24"/>
        </w:rPr>
      </w:pPr>
      <w:r w:rsidRPr="002F03CE">
        <w:rPr>
          <w:rFonts w:ascii="Arial" w:eastAsia="Times New Roman" w:hAnsi="Arial" w:cs="Arial"/>
          <w:b/>
          <w:bCs/>
          <w:sz w:val="24"/>
          <w:szCs w:val="24"/>
        </w:rPr>
        <w:t>5. Conclusions &amp; Policy Implications</w:t>
      </w:r>
    </w:p>
    <w:p w:rsidR="001C290B" w:rsidRPr="002F03CE" w:rsidRDefault="001C290B" w:rsidP="001C290B">
      <w:pPr>
        <w:spacing w:after="0" w:line="240" w:lineRule="auto"/>
        <w:rPr>
          <w:rFonts w:ascii="Arial" w:eastAsia="Times New Roman" w:hAnsi="Arial" w:cs="Arial"/>
          <w:b/>
          <w:bCs/>
          <w:sz w:val="24"/>
          <w:szCs w:val="24"/>
        </w:rPr>
      </w:pPr>
    </w:p>
    <w:p w:rsidR="001C290B" w:rsidRDefault="002F03CE" w:rsidP="001C290B">
      <w:pPr>
        <w:pStyle w:val="ListParagraph"/>
        <w:numPr>
          <w:ilvl w:val="0"/>
          <w:numId w:val="9"/>
        </w:numPr>
        <w:spacing w:after="0" w:line="240" w:lineRule="auto"/>
        <w:rPr>
          <w:rFonts w:ascii="Arial" w:eastAsia="Times New Roman" w:hAnsi="Arial" w:cs="Arial"/>
          <w:sz w:val="24"/>
          <w:szCs w:val="24"/>
        </w:rPr>
      </w:pPr>
      <w:r w:rsidRPr="001C290B">
        <w:rPr>
          <w:rFonts w:ascii="Arial" w:eastAsia="Times New Roman" w:hAnsi="Arial" w:cs="Arial"/>
          <w:b/>
          <w:bCs/>
          <w:sz w:val="24"/>
          <w:szCs w:val="24"/>
        </w:rPr>
        <w:t>Methodological Conclusion:</w:t>
      </w:r>
      <w:r w:rsidRPr="001C290B">
        <w:rPr>
          <w:rFonts w:ascii="Arial" w:eastAsia="Times New Roman" w:hAnsi="Arial" w:cs="Arial"/>
          <w:sz w:val="24"/>
          <w:szCs w:val="24"/>
        </w:rPr>
        <w:t xml:space="preserve"> Research frameworks that evaluate civil conflicts using macro-provincial data run a severe risk of misrepresenting the scale of violence. Micro-level spatial auditing (such as District grouping) is mandatory to map the actual architectural realities of modern warfare.</w:t>
      </w:r>
    </w:p>
    <w:p w:rsidR="001C290B" w:rsidRDefault="002F03CE" w:rsidP="001C290B">
      <w:pPr>
        <w:pStyle w:val="ListParagraph"/>
        <w:numPr>
          <w:ilvl w:val="0"/>
          <w:numId w:val="9"/>
        </w:numPr>
        <w:spacing w:after="0" w:line="240" w:lineRule="auto"/>
        <w:rPr>
          <w:rFonts w:ascii="Arial" w:eastAsia="Times New Roman" w:hAnsi="Arial" w:cs="Arial"/>
          <w:sz w:val="24"/>
          <w:szCs w:val="24"/>
        </w:rPr>
      </w:pPr>
      <w:r w:rsidRPr="001C290B">
        <w:rPr>
          <w:rFonts w:ascii="Arial" w:eastAsia="Times New Roman" w:hAnsi="Arial" w:cs="Arial"/>
          <w:b/>
          <w:bCs/>
          <w:sz w:val="24"/>
          <w:szCs w:val="24"/>
        </w:rPr>
        <w:t>Humanitarian Implications:</w:t>
      </w:r>
      <w:r w:rsidRPr="001C290B">
        <w:rPr>
          <w:rFonts w:ascii="Arial" w:eastAsia="Times New Roman" w:hAnsi="Arial" w:cs="Arial"/>
          <w:sz w:val="24"/>
          <w:szCs w:val="24"/>
        </w:rPr>
        <w:t xml:space="preserve"> Because </w:t>
      </w:r>
      <w:r w:rsidRPr="001C290B">
        <w:rPr>
          <w:rFonts w:ascii="Arial" w:eastAsia="Times New Roman" w:hAnsi="Arial" w:cs="Arial"/>
          <w:b/>
          <w:bCs/>
          <w:sz w:val="24"/>
          <w:szCs w:val="24"/>
        </w:rPr>
        <w:t>68% of the direct combat deaths</w:t>
      </w:r>
      <w:r w:rsidRPr="001C290B">
        <w:rPr>
          <w:rFonts w:ascii="Arial" w:eastAsia="Times New Roman" w:hAnsi="Arial" w:cs="Arial"/>
          <w:sz w:val="24"/>
          <w:szCs w:val="24"/>
        </w:rPr>
        <w:t xml:space="preserve"> are localized within just </w:t>
      </w:r>
      <w:r w:rsidRPr="001C290B">
        <w:rPr>
          <w:rFonts w:ascii="Arial" w:eastAsia="Times New Roman" w:hAnsi="Arial" w:cs="Arial"/>
          <w:b/>
          <w:bCs/>
          <w:sz w:val="24"/>
          <w:szCs w:val="24"/>
        </w:rPr>
        <w:t>10% of the districts</w:t>
      </w:r>
      <w:r w:rsidRPr="001C290B">
        <w:rPr>
          <w:rFonts w:ascii="Arial" w:eastAsia="Times New Roman" w:hAnsi="Arial" w:cs="Arial"/>
          <w:sz w:val="24"/>
          <w:szCs w:val="24"/>
        </w:rPr>
        <w:t xml:space="preserve">, post-conflict stabilization programs cannot simply distribute funds evenly or province-by-province. Mine clearance, heavy trauma medical infrastructure, and structural reconstruction </w:t>
      </w:r>
      <w:proofErr w:type="gramStart"/>
      <w:r w:rsidRPr="001C290B">
        <w:rPr>
          <w:rFonts w:ascii="Arial" w:eastAsia="Times New Roman" w:hAnsi="Arial" w:cs="Arial"/>
          <w:sz w:val="24"/>
          <w:szCs w:val="24"/>
        </w:rPr>
        <w:t>must be surgically funneled</w:t>
      </w:r>
      <w:proofErr w:type="gramEnd"/>
      <w:r w:rsidRPr="001C290B">
        <w:rPr>
          <w:rFonts w:ascii="Arial" w:eastAsia="Times New Roman" w:hAnsi="Arial" w:cs="Arial"/>
          <w:sz w:val="24"/>
          <w:szCs w:val="24"/>
        </w:rPr>
        <w:t xml:space="preserve"> exclusively into these micro-frontlines.</w:t>
      </w:r>
    </w:p>
    <w:p w:rsidR="002F03CE" w:rsidRPr="001C290B" w:rsidRDefault="002F03CE" w:rsidP="001C290B">
      <w:pPr>
        <w:pStyle w:val="ListParagraph"/>
        <w:numPr>
          <w:ilvl w:val="0"/>
          <w:numId w:val="9"/>
        </w:numPr>
        <w:spacing w:after="0" w:line="240" w:lineRule="auto"/>
        <w:rPr>
          <w:rFonts w:ascii="Arial" w:eastAsia="Times New Roman" w:hAnsi="Arial" w:cs="Arial"/>
          <w:sz w:val="24"/>
          <w:szCs w:val="24"/>
        </w:rPr>
      </w:pPr>
      <w:r w:rsidRPr="001C290B">
        <w:rPr>
          <w:rFonts w:ascii="Arial" w:eastAsia="Times New Roman" w:hAnsi="Arial" w:cs="Arial"/>
          <w:b/>
          <w:bCs/>
          <w:sz w:val="24"/>
          <w:szCs w:val="24"/>
        </w:rPr>
        <w:t>Macroeconomic Shift:</w:t>
      </w:r>
      <w:r w:rsidRPr="001C290B">
        <w:rPr>
          <w:rFonts w:ascii="Arial" w:eastAsia="Times New Roman" w:hAnsi="Arial" w:cs="Arial"/>
          <w:sz w:val="24"/>
          <w:szCs w:val="24"/>
        </w:rPr>
        <w:t xml:space="preserve"> For the remaining 90% of districts, which suffered minor direct combat but heavy casualties from blockades, inflation, and healthcare decay, interventions must bypass military stabilization and focus entirely on macroeconomic restoration, currency stabilization, and clean water networks to curb indirect under-5 child mortality.</w:t>
      </w:r>
    </w:p>
    <w:p w:rsidR="002F03CE" w:rsidRPr="002F03CE" w:rsidRDefault="002F03CE" w:rsidP="002F03CE">
      <w:pPr>
        <w:spacing w:before="480" w:after="480" w:line="240" w:lineRule="auto"/>
        <w:rPr>
          <w:rFonts w:ascii="Times New Roman" w:eastAsia="Times New Roman" w:hAnsi="Times New Roman" w:cs="Times New Roman"/>
          <w:sz w:val="24"/>
          <w:szCs w:val="24"/>
        </w:rPr>
      </w:pPr>
    </w:p>
    <w:p w:rsidR="002F03CE" w:rsidRPr="002F03CE" w:rsidRDefault="002F03CE" w:rsidP="002F03CE">
      <w:pPr>
        <w:spacing w:before="480" w:after="480" w:line="240" w:lineRule="auto"/>
        <w:rPr>
          <w:rFonts w:ascii="Times New Roman" w:eastAsia="Times New Roman" w:hAnsi="Times New Roman" w:cs="Times New Roman"/>
          <w:sz w:val="24"/>
          <w:szCs w:val="24"/>
        </w:rPr>
      </w:pPr>
    </w:p>
    <w:p w:rsidR="002F03CE" w:rsidRPr="002F03CE" w:rsidRDefault="002F03CE" w:rsidP="002F03CE">
      <w:pPr>
        <w:spacing w:after="0" w:line="240" w:lineRule="auto"/>
        <w:rPr>
          <w:rFonts w:ascii="Arial" w:eastAsia="Times New Roman" w:hAnsi="Arial" w:cs="Arial"/>
          <w:sz w:val="24"/>
          <w:szCs w:val="24"/>
        </w:rPr>
      </w:pPr>
    </w:p>
    <w:sectPr w:rsidR="002F03CE" w:rsidRPr="002F0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A54B9"/>
    <w:multiLevelType w:val="multilevel"/>
    <w:tmpl w:val="E3D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62B9D"/>
    <w:multiLevelType w:val="hybridMultilevel"/>
    <w:tmpl w:val="AE4AF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B74B5"/>
    <w:multiLevelType w:val="hybridMultilevel"/>
    <w:tmpl w:val="897833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221C8"/>
    <w:multiLevelType w:val="hybridMultilevel"/>
    <w:tmpl w:val="45040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AE5F0A"/>
    <w:multiLevelType w:val="hybridMultilevel"/>
    <w:tmpl w:val="BBA2A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E5E51"/>
    <w:multiLevelType w:val="hybridMultilevel"/>
    <w:tmpl w:val="2646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BF1804"/>
    <w:multiLevelType w:val="multilevel"/>
    <w:tmpl w:val="EC6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A2332"/>
    <w:multiLevelType w:val="multilevel"/>
    <w:tmpl w:val="E72A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D16DBA"/>
    <w:multiLevelType w:val="hybridMultilevel"/>
    <w:tmpl w:val="8CC040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67921"/>
    <w:multiLevelType w:val="multilevel"/>
    <w:tmpl w:val="6DC0F71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abstractNumId w:val="9"/>
  </w:num>
  <w:num w:numId="2">
    <w:abstractNumId w:val="6"/>
  </w:num>
  <w:num w:numId="3">
    <w:abstractNumId w:val="2"/>
  </w:num>
  <w:num w:numId="4">
    <w:abstractNumId w:val="5"/>
  </w:num>
  <w:num w:numId="5">
    <w:abstractNumId w:val="8"/>
  </w:num>
  <w:num w:numId="6">
    <w:abstractNumId w:val="7"/>
  </w:num>
  <w:num w:numId="7">
    <w:abstractNumId w:val="0"/>
  </w:num>
  <w:num w:numId="8">
    <w:abstractNumId w:val="3"/>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D00"/>
    <w:rsid w:val="00003F08"/>
    <w:rsid w:val="001C290B"/>
    <w:rsid w:val="002662A5"/>
    <w:rsid w:val="002F03CE"/>
    <w:rsid w:val="003B3D00"/>
    <w:rsid w:val="006057FE"/>
    <w:rsid w:val="00626812"/>
    <w:rsid w:val="00D004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45C3"/>
  <w15:chartTrackingRefBased/>
  <w15:docId w15:val="{E3C02028-4902-4B47-8DCA-23AB47CF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B3D00"/>
    <w:rPr>
      <w:b/>
      <w:bCs/>
    </w:rPr>
  </w:style>
  <w:style w:type="character" w:customStyle="1" w:styleId="t286pc">
    <w:name w:val="t286pc"/>
    <w:basedOn w:val="DefaultParagraphFont"/>
    <w:rsid w:val="003B3D00"/>
  </w:style>
  <w:style w:type="paragraph" w:styleId="ListParagraph">
    <w:name w:val="List Paragraph"/>
    <w:basedOn w:val="Normal"/>
    <w:uiPriority w:val="34"/>
    <w:qFormat/>
    <w:rsid w:val="003B3D00"/>
    <w:pPr>
      <w:ind w:left="720"/>
      <w:contextualSpacing/>
    </w:pPr>
  </w:style>
  <w:style w:type="character" w:styleId="Emphasis">
    <w:name w:val="Emphasis"/>
    <w:basedOn w:val="DefaultParagraphFont"/>
    <w:uiPriority w:val="20"/>
    <w:qFormat/>
    <w:rsid w:val="002F03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248927">
      <w:bodyDiv w:val="1"/>
      <w:marLeft w:val="0"/>
      <w:marRight w:val="0"/>
      <w:marTop w:val="0"/>
      <w:marBottom w:val="0"/>
      <w:divBdr>
        <w:top w:val="none" w:sz="0" w:space="0" w:color="auto"/>
        <w:left w:val="none" w:sz="0" w:space="0" w:color="auto"/>
        <w:bottom w:val="none" w:sz="0" w:space="0" w:color="auto"/>
        <w:right w:val="none" w:sz="0" w:space="0" w:color="auto"/>
      </w:divBdr>
      <w:divsChild>
        <w:div w:id="1717048418">
          <w:marLeft w:val="0"/>
          <w:marRight w:val="0"/>
          <w:marTop w:val="360"/>
          <w:marBottom w:val="180"/>
          <w:divBdr>
            <w:top w:val="none" w:sz="0" w:space="0" w:color="auto"/>
            <w:left w:val="none" w:sz="0" w:space="0" w:color="auto"/>
            <w:bottom w:val="none" w:sz="0" w:space="0" w:color="auto"/>
            <w:right w:val="none" w:sz="0" w:space="0" w:color="auto"/>
          </w:divBdr>
        </w:div>
        <w:div w:id="18313230">
          <w:marLeft w:val="0"/>
          <w:marRight w:val="0"/>
          <w:marTop w:val="360"/>
          <w:marBottom w:val="180"/>
          <w:divBdr>
            <w:top w:val="none" w:sz="0" w:space="0" w:color="auto"/>
            <w:left w:val="none" w:sz="0" w:space="0" w:color="auto"/>
            <w:bottom w:val="none" w:sz="0" w:space="0" w:color="auto"/>
            <w:right w:val="none" w:sz="0" w:space="0" w:color="auto"/>
          </w:divBdr>
        </w:div>
        <w:div w:id="1689257371">
          <w:marLeft w:val="0"/>
          <w:marRight w:val="0"/>
          <w:marTop w:val="180"/>
          <w:marBottom w:val="240"/>
          <w:divBdr>
            <w:top w:val="none" w:sz="0" w:space="0" w:color="auto"/>
            <w:left w:val="none" w:sz="0" w:space="0" w:color="auto"/>
            <w:bottom w:val="none" w:sz="0" w:space="0" w:color="auto"/>
            <w:right w:val="none" w:sz="0" w:space="0" w:color="auto"/>
          </w:divBdr>
        </w:div>
        <w:div w:id="376930299">
          <w:marLeft w:val="0"/>
          <w:marRight w:val="0"/>
          <w:marTop w:val="180"/>
          <w:marBottom w:val="240"/>
          <w:divBdr>
            <w:top w:val="none" w:sz="0" w:space="0" w:color="auto"/>
            <w:left w:val="none" w:sz="0" w:space="0" w:color="auto"/>
            <w:bottom w:val="none" w:sz="0" w:space="0" w:color="auto"/>
            <w:right w:val="none" w:sz="0" w:space="0" w:color="auto"/>
          </w:divBdr>
        </w:div>
        <w:div w:id="1863006695">
          <w:marLeft w:val="0"/>
          <w:marRight w:val="0"/>
          <w:marTop w:val="360"/>
          <w:marBottom w:val="180"/>
          <w:divBdr>
            <w:top w:val="none" w:sz="0" w:space="0" w:color="auto"/>
            <w:left w:val="none" w:sz="0" w:space="0" w:color="auto"/>
            <w:bottom w:val="none" w:sz="0" w:space="0" w:color="auto"/>
            <w:right w:val="none" w:sz="0" w:space="0" w:color="auto"/>
          </w:divBdr>
        </w:div>
        <w:div w:id="1692099387">
          <w:marLeft w:val="0"/>
          <w:marRight w:val="0"/>
          <w:marTop w:val="180"/>
          <w:marBottom w:val="240"/>
          <w:divBdr>
            <w:top w:val="none" w:sz="0" w:space="0" w:color="auto"/>
            <w:left w:val="none" w:sz="0" w:space="0" w:color="auto"/>
            <w:bottom w:val="none" w:sz="0" w:space="0" w:color="auto"/>
            <w:right w:val="none" w:sz="0" w:space="0" w:color="auto"/>
          </w:divBdr>
        </w:div>
        <w:div w:id="570849685">
          <w:marLeft w:val="0"/>
          <w:marRight w:val="0"/>
          <w:marTop w:val="180"/>
          <w:marBottom w:val="240"/>
          <w:divBdr>
            <w:top w:val="none" w:sz="0" w:space="0" w:color="auto"/>
            <w:left w:val="none" w:sz="0" w:space="0" w:color="auto"/>
            <w:bottom w:val="none" w:sz="0" w:space="0" w:color="auto"/>
            <w:right w:val="none" w:sz="0" w:space="0" w:color="auto"/>
          </w:divBdr>
        </w:div>
        <w:div w:id="7567287">
          <w:marLeft w:val="0"/>
          <w:marRight w:val="0"/>
          <w:marTop w:val="360"/>
          <w:marBottom w:val="180"/>
          <w:divBdr>
            <w:top w:val="none" w:sz="0" w:space="0" w:color="auto"/>
            <w:left w:val="none" w:sz="0" w:space="0" w:color="auto"/>
            <w:bottom w:val="none" w:sz="0" w:space="0" w:color="auto"/>
            <w:right w:val="none" w:sz="0" w:space="0" w:color="auto"/>
          </w:divBdr>
        </w:div>
        <w:div w:id="1264651253">
          <w:marLeft w:val="0"/>
          <w:marRight w:val="0"/>
          <w:marTop w:val="360"/>
          <w:marBottom w:val="180"/>
          <w:divBdr>
            <w:top w:val="none" w:sz="0" w:space="0" w:color="auto"/>
            <w:left w:val="none" w:sz="0" w:space="0" w:color="auto"/>
            <w:bottom w:val="none" w:sz="0" w:space="0" w:color="auto"/>
            <w:right w:val="none" w:sz="0" w:space="0" w:color="auto"/>
          </w:divBdr>
        </w:div>
        <w:div w:id="1407344481">
          <w:marLeft w:val="0"/>
          <w:marRight w:val="0"/>
          <w:marTop w:val="180"/>
          <w:marBottom w:val="240"/>
          <w:divBdr>
            <w:top w:val="none" w:sz="0" w:space="0" w:color="auto"/>
            <w:left w:val="none" w:sz="0" w:space="0" w:color="auto"/>
            <w:bottom w:val="none" w:sz="0" w:space="0" w:color="auto"/>
            <w:right w:val="none" w:sz="0" w:space="0" w:color="auto"/>
          </w:divBdr>
        </w:div>
        <w:div w:id="919414598">
          <w:marLeft w:val="0"/>
          <w:marRight w:val="0"/>
          <w:marTop w:val="180"/>
          <w:marBottom w:val="240"/>
          <w:divBdr>
            <w:top w:val="none" w:sz="0" w:space="0" w:color="auto"/>
            <w:left w:val="none" w:sz="0" w:space="0" w:color="auto"/>
            <w:bottom w:val="none" w:sz="0" w:space="0" w:color="auto"/>
            <w:right w:val="none" w:sz="0" w:space="0" w:color="auto"/>
          </w:divBdr>
        </w:div>
        <w:div w:id="1159032142">
          <w:marLeft w:val="0"/>
          <w:marRight w:val="0"/>
          <w:marTop w:val="360"/>
          <w:marBottom w:val="180"/>
          <w:divBdr>
            <w:top w:val="none" w:sz="0" w:space="0" w:color="auto"/>
            <w:left w:val="none" w:sz="0" w:space="0" w:color="auto"/>
            <w:bottom w:val="none" w:sz="0" w:space="0" w:color="auto"/>
            <w:right w:val="none" w:sz="0" w:space="0" w:color="auto"/>
          </w:divBdr>
        </w:div>
        <w:div w:id="2142265832">
          <w:marLeft w:val="0"/>
          <w:marRight w:val="0"/>
          <w:marTop w:val="180"/>
          <w:marBottom w:val="240"/>
          <w:divBdr>
            <w:top w:val="none" w:sz="0" w:space="0" w:color="auto"/>
            <w:left w:val="none" w:sz="0" w:space="0" w:color="auto"/>
            <w:bottom w:val="none" w:sz="0" w:space="0" w:color="auto"/>
            <w:right w:val="none" w:sz="0" w:space="0" w:color="auto"/>
          </w:divBdr>
        </w:div>
      </w:divsChild>
    </w:div>
    <w:div w:id="931738069">
      <w:bodyDiv w:val="1"/>
      <w:marLeft w:val="0"/>
      <w:marRight w:val="0"/>
      <w:marTop w:val="0"/>
      <w:marBottom w:val="0"/>
      <w:divBdr>
        <w:top w:val="none" w:sz="0" w:space="0" w:color="auto"/>
        <w:left w:val="none" w:sz="0" w:space="0" w:color="auto"/>
        <w:bottom w:val="none" w:sz="0" w:space="0" w:color="auto"/>
        <w:right w:val="none" w:sz="0" w:space="0" w:color="auto"/>
      </w:divBdr>
    </w:div>
    <w:div w:id="979654145">
      <w:bodyDiv w:val="1"/>
      <w:marLeft w:val="0"/>
      <w:marRight w:val="0"/>
      <w:marTop w:val="0"/>
      <w:marBottom w:val="0"/>
      <w:divBdr>
        <w:top w:val="none" w:sz="0" w:space="0" w:color="auto"/>
        <w:left w:val="none" w:sz="0" w:space="0" w:color="auto"/>
        <w:bottom w:val="none" w:sz="0" w:space="0" w:color="auto"/>
        <w:right w:val="none" w:sz="0" w:space="0" w:color="auto"/>
      </w:divBdr>
      <w:divsChild>
        <w:div w:id="272203069">
          <w:marLeft w:val="0"/>
          <w:marRight w:val="0"/>
          <w:marTop w:val="360"/>
          <w:marBottom w:val="180"/>
          <w:divBdr>
            <w:top w:val="none" w:sz="0" w:space="0" w:color="auto"/>
            <w:left w:val="none" w:sz="0" w:space="0" w:color="auto"/>
            <w:bottom w:val="none" w:sz="0" w:space="0" w:color="auto"/>
            <w:right w:val="none" w:sz="0" w:space="0" w:color="auto"/>
          </w:divBdr>
        </w:div>
        <w:div w:id="731275726">
          <w:marLeft w:val="0"/>
          <w:marRight w:val="0"/>
          <w:marTop w:val="180"/>
          <w:marBottom w:val="240"/>
          <w:divBdr>
            <w:top w:val="none" w:sz="0" w:space="0" w:color="auto"/>
            <w:left w:val="none" w:sz="0" w:space="0" w:color="auto"/>
            <w:bottom w:val="none" w:sz="0" w:space="0" w:color="auto"/>
            <w:right w:val="none" w:sz="0" w:space="0" w:color="auto"/>
          </w:divBdr>
        </w:div>
        <w:div w:id="945381029">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1</cp:revision>
  <dcterms:created xsi:type="dcterms:W3CDTF">2026-07-04T09:59:00Z</dcterms:created>
  <dcterms:modified xsi:type="dcterms:W3CDTF">2026-07-04T10:48:00Z</dcterms:modified>
</cp:coreProperties>
</file>