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5F8C3" w14:textId="77777777" w:rsidR="00E52132" w:rsidRDefault="00000000">
      <w:pPr>
        <w:spacing w:after="0" w:line="240" w:lineRule="auto"/>
        <w:jc w:val="center"/>
        <w:sectPr w:rsidR="00E52132">
          <w:pgSz w:w="11906" w:h="16838"/>
          <w:pgMar w:top="0" w:right="0" w:bottom="0" w:left="0" w:header="0" w:footer="0" w:gutter="0"/>
          <w:cols w:space="720"/>
        </w:sectPr>
      </w:pPr>
      <w:r>
        <w:rPr>
          <w:noProof/>
        </w:rPr>
        <w:drawing>
          <wp:inline distT="0" distB="0" distL="0" distR="0" wp14:anchorId="32897567" wp14:editId="5E69C875">
            <wp:extent cx="7560000" cy="10692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cover.jpg"/>
                    <pic:cNvPicPr/>
                  </pic:nvPicPr>
                  <pic:blipFill>
                    <a:blip r:embed="rId7"/>
                    <a:stretch>
                      <a:fillRect/>
                    </a:stretch>
                  </pic:blipFill>
                  <pic:spPr>
                    <a:xfrm>
                      <a:off x="0" y="0"/>
                      <a:ext cx="7560000" cy="10692000"/>
                    </a:xfrm>
                    <a:prstGeom prst="rect">
                      <a:avLst/>
                    </a:prstGeom>
                  </pic:spPr>
                </pic:pic>
              </a:graphicData>
            </a:graphic>
          </wp:inline>
        </w:drawing>
      </w:r>
    </w:p>
    <w:p w14:paraId="16B52CEE" w14:textId="77777777" w:rsidR="00E52132" w:rsidRDefault="00000000">
      <w:pPr>
        <w:pStyle w:val="Title"/>
      </w:pPr>
      <w:r>
        <w:rPr>
          <w:rtl/>
        </w:rPr>
        <w:lastRenderedPageBreak/>
        <w:t>AI-Assisted Professional Engineering with .NET</w:t>
      </w:r>
    </w:p>
    <w:p w14:paraId="3F896301" w14:textId="77777777" w:rsidR="00E52132" w:rsidRDefault="00000000">
      <w:pPr>
        <w:pStyle w:val="Heading1"/>
        <w:bidi/>
      </w:pPr>
      <w:bookmarkStart w:id="0" w:name="X4ce809caa551ed47acfca1f58c6a11dd515e4bb"/>
      <w:r>
        <w:rPr>
          <w:rtl/>
        </w:rPr>
        <w:t>القسم الأول — أزمة التعقيد في أنظمة البرمجيات الحديثة</w:t>
      </w:r>
    </w:p>
    <w:p w14:paraId="14A7EE37" w14:textId="77777777" w:rsidR="00E52132" w:rsidRDefault="00000000">
      <w:pPr>
        <w:pStyle w:val="Heading2"/>
        <w:bidi/>
      </w:pPr>
      <w:bookmarkStart w:id="1" w:name="انهيار-الخط-الأساسي"/>
      <w:r>
        <w:rPr>
          <w:rtl/>
        </w:rPr>
        <w:t>انهيار الخط الأساسي</w:t>
      </w:r>
    </w:p>
    <w:p w14:paraId="096A6716" w14:textId="77777777" w:rsidR="00E52132" w:rsidRDefault="00000000">
      <w:pPr>
        <w:bidi/>
      </w:pPr>
      <w:r>
        <w:rPr>
          <w:rtl/>
        </w:rPr>
        <w:t>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للفريق، كانت أسبوعان من التعريف تُنتج فهماً عملياً وظيفياً بالنظام بأكمله.</w:t>
      </w:r>
    </w:p>
    <w:p w14:paraId="520165D2" w14:textId="77777777" w:rsidR="00E52132" w:rsidRDefault="00000000">
      <w:pPr>
        <w:bidi/>
      </w:pPr>
      <w:r>
        <w:rPr>
          <w:rtl/>
        </w:rPr>
        <w:t>ذلك النموذج الذهني — المطوّر بوصفه حاملاً لمعرفة شاملة بالنظام — كان الأساس الذي بُنيت عليه معظم ممارسات هندسة البرمجيات. أغلب أنماط التصميم، وبنية المناهج الدراسية، والافتراضات الضمنية الكامنة خلف ممارسات مراجعة الكود، وفكرة «المطوّر الكبير» بوصفه من يعرف أكثر فحسب — كلها تقوم على فرضية أن مهندساً متمرساً بما يكفي يستطيع الحفاظ على فهم متماسك للنظام الذي يبنيه.</w:t>
      </w:r>
    </w:p>
    <w:p w14:paraId="1AAC1749" w14:textId="77777777" w:rsidR="00E52132" w:rsidRDefault="00000000">
      <w:pPr>
        <w:bidi/>
      </w:pPr>
      <w:r>
        <w:rPr>
          <w:rtl/>
        </w:rPr>
        <w:t>هذا النموذج انهار. ليس تدريجياً، وليس كاتجاه مجرد، بل كواقع تشغيلي ملموس يؤثر على العمل اليومي لكل مهندس يبني أنظمة إنتاجية اليوم.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p w14:paraId="570617DF" w14:textId="77777777" w:rsidR="00E52132" w:rsidRDefault="00000000">
      <w:pPr>
        <w:pStyle w:val="Heading2"/>
        <w:bidi/>
      </w:pPr>
      <w:bookmarkStart w:id="2" w:name="أبعاد-التعقيد-الحديث"/>
      <w:bookmarkEnd w:id="1"/>
      <w:r>
        <w:rPr>
          <w:rtl/>
        </w:rPr>
        <w:t>أبعاد التعقيد الحديث</w:t>
      </w:r>
    </w:p>
    <w:p w14:paraId="1FCEA360" w14:textId="77777777" w:rsidR="00E52132" w:rsidRDefault="00000000">
      <w:pPr>
        <w:bidi/>
      </w:pPr>
      <w:r>
        <w:rPr>
          <w:rtl/>
        </w:rPr>
        <w:t>لفهم حجم هذا التحوّل، لا بد من الدقة في تعريف “التعقيد”. الكلمة تُستخدم عادةً مرادفةً لـ “الكبير” أو “الصعب”،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14:paraId="555E59CA" w14:textId="77777777" w:rsidR="00E52132" w:rsidRDefault="00000000">
      <w:pPr>
        <w:bidi/>
      </w:pPr>
      <w:r>
        <w:rPr>
          <w:b/>
          <w:bCs/>
          <w:rtl/>
        </w:rPr>
        <w:t>مساحة سطح التكامل - Integration Surface Area.</w:t>
      </w:r>
      <w:r>
        <w:rPr>
          <w:rtl/>
        </w:rPr>
        <w:t xml:space="preserve"> 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كل تكامل يُدخل اعتمادية لها عقد إصدار خاص بها، وأنماط فشل محددة، وخصائص كمون - Latency، وحدود معدل استخدام - Rate Limits، وآليات استيثاق مستقلة.</w:t>
      </w:r>
    </w:p>
    <w:p w14:paraId="1FA771E7" w14:textId="77777777" w:rsidR="00E52132" w:rsidRDefault="00000000">
      <w:pPr>
        <w:bidi/>
      </w:pPr>
      <w:r>
        <w:rPr>
          <w:rtl/>
        </w:rPr>
        <w:lastRenderedPageBreak/>
        <w:t>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 دوري - DAG للاعتماديات قد يحتوي على تعارضات عبر حدود الإصدارات الرئيسية. أمر بسيط كـ dotnet add package ليس إضافة شيء واحد فحسب — إنه تعديل في مسألة حل اعتماديات معقدة قد لا يوجد لها حل مثالي في ضوء المتطلبات المتعارضة للاعتماديات المتعدية.</w:t>
      </w:r>
    </w:p>
    <w:p w14:paraId="75C96463" w14:textId="77777777" w:rsidR="00E52132" w:rsidRDefault="00000000">
      <w:pPr>
        <w:bidi/>
      </w:pPr>
      <w:r>
        <w:rPr>
          <w:b/>
          <w:bCs/>
          <w:rtl/>
        </w:rPr>
        <w:t>التعقيد الزمني - Temporal Complexity.</w:t>
      </w:r>
      <w:r>
        <w:rPr>
          <w:rtl/>
        </w:rPr>
        <w:t xml:space="preserve"> 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النشرات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14:paraId="4A1D1004" w14:textId="77777777" w:rsidR="00E52132" w:rsidRDefault="00000000">
      <w:pPr>
        <w:bidi/>
      </w:pPr>
      <w:r>
        <w:rPr>
          <w:b/>
          <w:bCs/>
          <w:rtl/>
        </w:rPr>
        <w:t>التعقيد التشغيلي - Operational Complexity.</w:t>
      </w:r>
      <w:r>
        <w:rPr>
          <w:rtl/>
        </w:rPr>
        <w:t xml:space="preserve"> 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والسوء في فهم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14:paraId="57FC5294" w14:textId="77777777" w:rsidR="00E52132" w:rsidRDefault="00000000">
      <w:pPr>
        <w:bidi/>
      </w:pPr>
      <w:r>
        <w:rPr>
          <w:b/>
          <w:bCs/>
          <w:rtl/>
        </w:rPr>
        <w:t>التعقيد التنظيمي - Organizational Complexity.</w:t>
      </w:r>
      <w:r>
        <w:rPr>
          <w:rtl/>
        </w:rPr>
        <w:t xml:space="preserve"> 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14:paraId="05F8CB8A" w14:textId="77777777" w:rsidR="00E52132" w:rsidRDefault="00000000">
      <w:pPr>
        <w:pStyle w:val="CaptionedFigure"/>
        <w:bidi/>
      </w:pPr>
      <w:r>
        <w:rPr>
          <w:noProof/>
        </w:rPr>
        <w:drawing>
          <wp:inline distT="0" distB="0" distL="0" distR="0" wp14:anchorId="1B3C1AC1" wp14:editId="6BDB2751">
            <wp:extent cx="5892800" cy="954573"/>
            <wp:effectExtent l="0" t="0" r="0" b="0"/>
            <wp:docPr id="23" name="Picture" descr="Diagram: dg-166839ce0a9c"/>
            <wp:cNvGraphicFramePr/>
            <a:graphic xmlns:a="http://schemas.openxmlformats.org/drawingml/2006/main">
              <a:graphicData uri="http://schemas.openxmlformats.org/drawingml/2006/picture">
                <pic:pic xmlns:pic="http://schemas.openxmlformats.org/drawingml/2006/picture">
                  <pic:nvPicPr>
                    <pic:cNvPr id="24" name="Picture" descr="exports\diagrams\mermaid\dg-166839ce0a9c.png"/>
                    <pic:cNvPicPr>
                      <a:picLocks noChangeAspect="1" noChangeArrowheads="1"/>
                    </pic:cNvPicPr>
                  </pic:nvPicPr>
                  <pic:blipFill>
                    <a:blip r:embed="rId8"/>
                    <a:stretch>
                      <a:fillRect/>
                    </a:stretch>
                  </pic:blipFill>
                  <pic:spPr bwMode="auto">
                    <a:xfrm>
                      <a:off x="0" y="0"/>
                      <a:ext cx="5892800" cy="954573"/>
                    </a:xfrm>
                    <a:prstGeom prst="rect">
                      <a:avLst/>
                    </a:prstGeom>
                    <a:noFill/>
                    <a:ln w="9525">
                      <a:noFill/>
                      <a:headEnd/>
                      <a:tailEnd/>
                    </a:ln>
                  </pic:spPr>
                </pic:pic>
              </a:graphicData>
            </a:graphic>
          </wp:inline>
        </w:drawing>
      </w:r>
    </w:p>
    <w:p w14:paraId="34A52375" w14:textId="77777777" w:rsidR="00E52132" w:rsidRDefault="00000000">
      <w:pPr>
        <w:pStyle w:val="ImageCaption"/>
        <w:bidi/>
      </w:pPr>
      <w:r>
        <w:rPr>
          <w:rtl/>
        </w:rPr>
        <w:t>Diagram: dg-166839ce0a9c</w:t>
      </w:r>
    </w:p>
    <w:p w14:paraId="3E4E0D6E" w14:textId="77777777" w:rsidR="00E52132" w:rsidRDefault="00000000">
      <w:pPr>
        <w:bidi/>
      </w:pPr>
      <w:r>
        <w:rPr>
          <w:rtl/>
        </w:rPr>
        <w:t>هذا المخطط يمثّل تقديراً محافظاً لمساحة 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p w14:paraId="53660B34" w14:textId="77777777" w:rsidR="00E52132" w:rsidRDefault="00000000">
      <w:pPr>
        <w:bidi/>
      </w:pPr>
      <w:r>
        <w:rPr>
          <w:rtl/>
        </w:rPr>
        <w:t xml:space="preserve">الأثر العملي لهذه المساحة السطحية أن أغلب المعرفة ذات الصلة بالفشل حول النظام تعيش خارج قاعدة الكود التي يعدّلها المطوّر. سياسة إعادة المحاولة لواجهة برمجية لاحقة، ونافذة التناسق النهائي لوسيط الرسائل، وسياسة الإخراج - Eviction للمخبأ الموزّع، وحد معدل استخدام موفر الهوية — لا شيء من هذا </w:t>
      </w:r>
      <w:r>
        <w:rPr>
          <w:rtl/>
        </w:rPr>
        <w:lastRenderedPageBreak/>
        <w:t>يظهر في ملفات المصدر الخاصة بالخدمة نفسها، ومع ذلك يحدد كل واحد منها ما إذا كان تنفيذ يبدو صحيحاً سيتصرف بشكل صحيح في الإنتاج. لهذا فإن كثافة المخطط أهم من دقته: فهو يجعل التوزيع الحقيقي للمعرفة التي يجب أن يحتفظ بها المطوّر مرئياً، ويوضح لماذا لا يمكن اكتساب تلك المعرفة من قراءة كود الخدمة وحده. المعرفة في مكان آخر — في وثائق البائع، وفي ملفات الإعداد، وفي سجل الحوادث للخدمات ذات الصلة، وفي أدلة التشغيل لفريق المنصة — وربطها بالكود قيد التعديل مهمة معرفية منفصلة وغير معوّضة.</w:t>
      </w:r>
    </w:p>
    <w:p w14:paraId="0CC8A65B" w14:textId="77777777" w:rsidR="00E52132" w:rsidRDefault="00000000">
      <w:pPr>
        <w:bidi/>
      </w:pPr>
      <w:r>
        <w:rPr>
          <w:rtl/>
        </w:rPr>
        <w:t>التعقيد هنا ليس أثراً جانبياً لقرارات هندسية رديئة. كل تكامل موجود لأنه يقدّم قدرة تتطلبها الأعمال. موفر الهوية يغني عن إدارة المصادقة الذاتية؛ ووسيط الرسائل يتيح المعالجة المفكوكة؛ والمخبأ الموزّع يجعل كمون الاستجابة مقبولاً. عكس هذه القرارات لتبسيط النظام يعني عكس القيمة التجارية التي تقدمها. المهندس إذاً لا يواجه خياراً بين التعقيد والبساطة، بل سؤالاً حول كيفية الحفاظ على فهم موثوق في نظامٍ يُعدّ تعقيده سمة دائمة للمشكلة التي يُحلّها.</w:t>
      </w:r>
    </w:p>
    <w:p w14:paraId="08A2AA15" w14:textId="77777777" w:rsidR="00E52132" w:rsidRDefault="00000000">
      <w:pPr>
        <w:pStyle w:val="Heading2"/>
        <w:bidi/>
      </w:pPr>
      <w:bookmarkStart w:id="3" w:name="القصور-الهندسي-للنموذج-الذهني-الفردي"/>
      <w:bookmarkEnd w:id="2"/>
      <w:r>
        <w:rPr>
          <w:rtl/>
        </w:rPr>
        <w:t>القصور الهندسي للنموذج الذهني الفردي</w:t>
      </w:r>
    </w:p>
    <w:p w14:paraId="6363A3DF" w14:textId="77777777" w:rsidR="00E52132" w:rsidRDefault="00000000">
      <w:pPr>
        <w:bidi/>
      </w:pPr>
      <w:r>
        <w:rPr>
          <w:rtl/>
        </w:rPr>
        <w:t>تطوّرت ممارسة هندسة البرمجيات تقريباً بالكامل حول قدرات وقيود العقل البشري الواحد. هذه حقيقة مؤسِّسة تستحق الوقوف عندها بدلاً من تجاوزها. الأنماط الكلاسيكية كانت استجابات للصعوبة المعرفية الناشئة عن إدارة علاقات الكائنات داخل برامج يمكن للمطوّر الواحد فهمها كاملةً في رأسه في أي لحظة. وهذه تقنيات هندسية ممتازة ما زالت صالحة ومهمة. لكنها صُمِّمت للتعويض عن قصور معرفي محدد 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14:paraId="00927D5A" w14:textId="77777777" w:rsidR="00E52132" w:rsidRDefault="00000000">
      <w:pPr>
        <w:bidi/>
      </w:pPr>
      <w:r>
        <w:rPr>
          <w:rtl/>
        </w:rPr>
        <w:t>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وأربعمئة وأربعون اختبار تكامل. تغطية الاختبار 78%.</w:t>
      </w:r>
    </w:p>
    <w:p w14:paraId="0EDFA949" w14:textId="77777777" w:rsidR="00E52132" w:rsidRDefault="00000000">
      <w:pPr>
        <w:bidi/>
      </w:pPr>
      <w:r>
        <w:rPr>
          <w:rtl/>
        </w:rPr>
        <w:t>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14:paraId="356E02DA" w14:textId="77777777" w:rsidR="00E52132" w:rsidRDefault="00000000">
      <w:pPr>
        <w:bidi/>
      </w:pPr>
      <w:r>
        <w:rPr>
          <w:rtl/>
        </w:rPr>
        <w:t>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p w14:paraId="5870466A" w14:textId="77777777" w:rsidR="00E52132" w:rsidRDefault="00000000">
      <w:pPr>
        <w:bidi/>
      </w:pPr>
      <w:r>
        <w:rPr>
          <w:rtl/>
        </w:rPr>
        <w:t xml:space="preserve">هذه العلاقة فوق الخطية تستحق الوقوف عندها لأنها تحدد الشكل الاقتصادي للصيانة. أول خمسين ألف سطر من قاعدة الكود رخيصة الفهم: الاتفاقيات ما زالت متسقة، ومخطط الاعتماديات صغير، والمؤلفون الأصليون ما زالوا حاضرين. بعد ذلك، تتسلّق تكلفة الفهم بسرعة. المساهمون الجدد يجب أن يعيدوا بناء سياق لم يعد الكود يحمله — قرارات اتُّخذت ولم تُسجَّل، وحلول مؤقتة موجودة دون تفسير، وعقود تُحترم </w:t>
      </w:r>
      <w:r>
        <w:rPr>
          <w:rtl/>
        </w:rPr>
        <w:lastRenderedPageBreak/>
        <w:t>بالاتفاق العرفي لا بالفرض. الأقدمية - Seniority في مثل هذه القاعدة ليست في المقام الأول مسألة مهارة؛ إنها سياق متراكم لم يُدوَّن قط. والنتيجة بنيوية: المعرفة الفعّالة للفريق تتركّز في أذهان الأعضاء الأطول خدمة، ورحيلهم أو نقلهم يحذف بصمت أثمن وثائق النظام.</w:t>
      </w:r>
    </w:p>
    <w:p w14:paraId="664A312A" w14:textId="77777777" w:rsidR="00E52132" w:rsidRDefault="00000000">
      <w:pPr>
        <w:bidi/>
      </w:pPr>
      <w:r>
        <w:rPr>
          <w:rtl/>
        </w:rPr>
        <w:t>هذا التركيز يفسّر أيضاً لماذا زمن الإعداد - Onboarding Time هو أوضح الأعراض الملحوظة لحد النموذج الذهني. حين يمكن احتواء النظام في رأس واحد، يكون التعريف نقلاً للمعرفة من عقل إلى آخر. حين يتجاوز النظام ذلك الحد، يتحول التعريف إلى مشروع تنقيب — المهندس الجديد يجب أن يعيد بناء، من آثار متناثرة، نموذجاً لا يمتلكه أي إنسان حي بصورة كاملة. أسبوعا التعريف المذكوران في الفقرة الافتتاحية يصبحان شهرين من الجهد، وحتى حينها تبقى في نموذج الوافد الجديد فجوات لا تكشفها إلا حوادث الإنتاج.</w:t>
      </w:r>
    </w:p>
    <w:p w14:paraId="474CFE3C" w14:textId="77777777" w:rsidR="00E52132" w:rsidRDefault="00000000">
      <w:pPr>
        <w:pStyle w:val="Heading2"/>
        <w:bidi/>
      </w:pPr>
      <w:bookmarkStart w:id="4" w:name="نقطة-الفشل-البنيوي"/>
      <w:bookmarkEnd w:id="3"/>
      <w:r>
        <w:rPr>
          <w:rtl/>
        </w:rPr>
        <w:t>نقطة الفشل البنيوي</w:t>
      </w:r>
    </w:p>
    <w:p w14:paraId="6FC225CD" w14:textId="77777777" w:rsidR="00E52132" w:rsidRDefault="00000000">
      <w:pPr>
        <w:bidi/>
      </w:pPr>
      <w:r>
        <w:rPr>
          <w:rtl/>
        </w:rPr>
        <w:t>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14:paraId="063119CB" w14:textId="77777777" w:rsidR="00E52132" w:rsidRDefault="00000000">
      <w:pPr>
        <w:bidi/>
      </w:pPr>
      <w:r>
        <w:rPr>
          <w:rtl/>
        </w:rPr>
        <w:t>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للبيانات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14:paraId="24B73F03" w14:textId="77777777" w:rsidR="00E52132" w:rsidRDefault="00000000" w:rsidP="001F655D">
      <w:pPr>
        <w:pStyle w:val="SourceCode"/>
      </w:pPr>
      <w:r>
        <w:rPr>
          <w:rStyle w:val="CommentTok"/>
        </w:rPr>
        <w:t>// Target Framework: .NET 8.0</w:t>
      </w:r>
      <w:r>
        <w:br/>
      </w:r>
      <w:r>
        <w:rPr>
          <w:rStyle w:val="CommentTok"/>
        </w:rPr>
        <w:t>// Chapter: 01 | Section: 01</w:t>
      </w:r>
      <w:r>
        <w:br/>
      </w:r>
      <w:r>
        <w:rPr>
          <w:rStyle w:val="CommentTok"/>
        </w:rPr>
        <w:t>// book/chapters/chapter-01/sections/section-01.ar.md</w:t>
      </w:r>
      <w:r>
        <w:br/>
      </w:r>
      <w:r>
        <w:rPr>
          <w:rStyle w:val="CommentTok"/>
        </w:rPr>
        <w:t>// هذا الكود صحيح في عزلته. كل قرار فردي مبرر ومدافع عنه.</w:t>
      </w:r>
      <w:r>
        <w:br/>
      </w:r>
      <w:r>
        <w:rPr>
          <w:rStyle w:val="CommentTok"/>
        </w:rPr>
        <w:t>// المشكلة ليست في الكود — بل في الفجوة بين ما يفترضه</w:t>
      </w:r>
      <w:r>
        <w:br/>
      </w:r>
      <w:r>
        <w:rPr>
          <w:rStyle w:val="CommentTok"/>
        </w:rPr>
        <w:t>// الكود حول بيئته التشغيلية وما تُقدّمه تلك البيئة فعلاً.</w:t>
      </w:r>
      <w:r>
        <w:br/>
      </w:r>
      <w:r>
        <w:br/>
      </w:r>
      <w:r>
        <w:rPr>
          <w:rStyle w:val="KeywordTok"/>
        </w:rPr>
        <w:t>public</w:t>
      </w:r>
      <w:r>
        <w:rPr>
          <w:rStyle w:val="NormalTok"/>
        </w:rPr>
        <w:t xml:space="preserve"> </w:t>
      </w:r>
      <w:r>
        <w:rPr>
          <w:rStyle w:val="KeywordTok"/>
        </w:rPr>
        <w:t>sealed</w:t>
      </w:r>
      <w:r>
        <w:rPr>
          <w:rStyle w:val="NormalTok"/>
        </w:rPr>
        <w:t xml:space="preserve"> </w:t>
      </w:r>
      <w:r>
        <w:rPr>
          <w:rStyle w:val="KeywordTok"/>
        </w:rPr>
        <w:t>class</w:t>
      </w:r>
      <w:r>
        <w:rPr>
          <w:rStyle w:val="NormalTok"/>
        </w:rPr>
        <w:t xml:space="preserve"> PaymentProcessor</w:t>
      </w:r>
      <w:r>
        <w:br/>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IPaymentGateway _gateway</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IPaymentRepository _repository</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IDistributedCache _cache</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_logger</w:t>
      </w:r>
      <w:r>
        <w:rPr>
          <w:rStyle w:val="OperatorTok"/>
        </w:rPr>
        <w:t>;</w:t>
      </w:r>
      <w:r>
        <w:br/>
      </w:r>
      <w:r>
        <w:br/>
      </w:r>
      <w:r>
        <w:rPr>
          <w:rStyle w:val="NormalTok"/>
        </w:rPr>
        <w:t xml:space="preserve">    </w:t>
      </w:r>
      <w:r>
        <w:rPr>
          <w:rStyle w:val="KeywordTok"/>
        </w:rPr>
        <w:t>public</w:t>
      </w:r>
      <w:r>
        <w:rPr>
          <w:rStyle w:val="NormalTok"/>
        </w:rPr>
        <w:t xml:space="preserve"> </w:t>
      </w:r>
      <w:r>
        <w:rPr>
          <w:rStyle w:val="FunctionTok"/>
        </w:rPr>
        <w:t>PaymentProcessor</w:t>
      </w:r>
      <w:r>
        <w:rPr>
          <w:rStyle w:val="OperatorTok"/>
        </w:rPr>
        <w:t>(</w:t>
      </w:r>
      <w:r>
        <w:br/>
      </w:r>
      <w:r>
        <w:rPr>
          <w:rStyle w:val="NormalTok"/>
        </w:rPr>
        <w:t xml:space="preserve">        IPaymentGateway gateway</w:t>
      </w:r>
      <w:r>
        <w:rPr>
          <w:rStyle w:val="OperatorTok"/>
        </w:rPr>
        <w:t>,</w:t>
      </w:r>
      <w:r>
        <w:br/>
      </w:r>
      <w:r>
        <w:rPr>
          <w:rStyle w:val="NormalTok"/>
        </w:rPr>
        <w:t xml:space="preserve">        IPaymentRepository repository</w:t>
      </w:r>
      <w:r>
        <w:rPr>
          <w:rStyle w:val="OperatorTok"/>
        </w:rPr>
        <w:t>,</w:t>
      </w:r>
      <w:r>
        <w:br/>
      </w:r>
      <w:r>
        <w:rPr>
          <w:rStyle w:val="NormalTok"/>
        </w:rPr>
        <w:t xml:space="preserve">        IDistributedCache cache</w:t>
      </w:r>
      <w:r>
        <w:rPr>
          <w:rStyle w:val="OperatorTok"/>
        </w:rPr>
        <w:t>,</w:t>
      </w:r>
      <w:r>
        <w:br/>
      </w:r>
      <w:r>
        <w:rPr>
          <w:rStyle w:val="NormalTok"/>
        </w:rPr>
        <w:t xml:space="preserve">        ILogger</w:t>
      </w:r>
      <w:r>
        <w:rPr>
          <w:rStyle w:val="OperatorTok"/>
        </w:rPr>
        <w:t>&lt;</w:t>
      </w:r>
      <w:r>
        <w:rPr>
          <w:rStyle w:val="NormalTok"/>
        </w:rPr>
        <w:t>PaymentProcessor</w:t>
      </w:r>
      <w:r>
        <w:rPr>
          <w:rStyle w:val="OperatorTok"/>
        </w:rPr>
        <w:t>&gt;</w:t>
      </w:r>
      <w:r>
        <w:rPr>
          <w:rStyle w:val="NormalTok"/>
        </w:rPr>
        <w:t xml:space="preserve"> logger</w:t>
      </w:r>
      <w:r>
        <w:rPr>
          <w:rStyle w:val="OperatorTok"/>
        </w:rPr>
        <w:t>)</w:t>
      </w:r>
      <w:r>
        <w:br/>
      </w:r>
      <w:r>
        <w:rPr>
          <w:rStyle w:val="NormalTok"/>
        </w:rPr>
        <w:t xml:space="preserve">    </w:t>
      </w:r>
      <w:r>
        <w:rPr>
          <w:rStyle w:val="OperatorTok"/>
        </w:rPr>
        <w:t>{</w:t>
      </w:r>
      <w:r>
        <w:br/>
      </w:r>
      <w:r>
        <w:rPr>
          <w:rStyle w:val="NormalTok"/>
        </w:rPr>
        <w:t xml:space="preserve">        _gateway </w:t>
      </w:r>
      <w:r>
        <w:rPr>
          <w:rStyle w:val="OperatorTok"/>
        </w:rPr>
        <w:t>=</w:t>
      </w:r>
      <w:r>
        <w:rPr>
          <w:rStyle w:val="NormalTok"/>
        </w:rPr>
        <w:t xml:space="preserve"> gateway</w:t>
      </w:r>
      <w:r>
        <w:rPr>
          <w:rStyle w:val="OperatorTok"/>
        </w:rPr>
        <w:t>;</w:t>
      </w:r>
      <w:r>
        <w:br/>
      </w:r>
      <w:r>
        <w:rPr>
          <w:rStyle w:val="NormalTok"/>
        </w:rPr>
        <w:t xml:space="preserve">        _repository </w:t>
      </w:r>
      <w:r>
        <w:rPr>
          <w:rStyle w:val="OperatorTok"/>
        </w:rPr>
        <w:t>=</w:t>
      </w:r>
      <w:r>
        <w:rPr>
          <w:rStyle w:val="NormalTok"/>
        </w:rPr>
        <w:t xml:space="preserve"> repository</w:t>
      </w:r>
      <w:r>
        <w:rPr>
          <w:rStyle w:val="OperatorTok"/>
        </w:rPr>
        <w:t>;</w:t>
      </w:r>
      <w:r>
        <w:br/>
      </w:r>
      <w:r>
        <w:rPr>
          <w:rStyle w:val="NormalTok"/>
        </w:rPr>
        <w:t xml:space="preserve">        _cache </w:t>
      </w:r>
      <w:r>
        <w:rPr>
          <w:rStyle w:val="OperatorTok"/>
        </w:rPr>
        <w:t>=</w:t>
      </w:r>
      <w:r>
        <w:rPr>
          <w:rStyle w:val="NormalTok"/>
        </w:rPr>
        <w:t xml:space="preserve"> cache</w:t>
      </w:r>
      <w:r>
        <w:rPr>
          <w:rStyle w:val="OperatorTok"/>
        </w:rPr>
        <w:t>;</w:t>
      </w:r>
      <w:r>
        <w:br/>
      </w:r>
      <w:r>
        <w:rPr>
          <w:rStyle w:val="NormalTok"/>
        </w:rPr>
        <w:t xml:space="preserve">        _logger </w:t>
      </w:r>
      <w:r>
        <w:rPr>
          <w:rStyle w:val="OperatorTok"/>
        </w:rPr>
        <w:t>=</w:t>
      </w:r>
      <w:r>
        <w:rPr>
          <w:rStyle w:val="NormalTok"/>
        </w:rPr>
        <w:t xml:space="preserve"> logger</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async Task</w:t>
      </w:r>
      <w:r>
        <w:rPr>
          <w:rStyle w:val="OperatorTok"/>
        </w:rPr>
        <w:t>&lt;</w:t>
      </w:r>
      <w:r>
        <w:rPr>
          <w:rStyle w:val="NormalTok"/>
        </w:rPr>
        <w:t>PaymentResult</w:t>
      </w:r>
      <w:r>
        <w:rPr>
          <w:rStyle w:val="OperatorTok"/>
        </w:rPr>
        <w:t>&gt;</w:t>
      </w:r>
      <w:r>
        <w:rPr>
          <w:rStyle w:val="NormalTok"/>
        </w:rPr>
        <w:t xml:space="preserve"> </w:t>
      </w:r>
      <w:r>
        <w:rPr>
          <w:rStyle w:val="FunctionTok"/>
        </w:rPr>
        <w:t>ProcessAsync</w:t>
      </w:r>
      <w:r>
        <w:rPr>
          <w:rStyle w:val="OperatorTok"/>
        </w:rPr>
        <w:t>(</w:t>
      </w:r>
      <w:r>
        <w:br/>
      </w:r>
      <w:r>
        <w:rPr>
          <w:rStyle w:val="NormalTok"/>
        </w:rPr>
        <w:t xml:space="preserve">        PaymentRequest request</w:t>
      </w:r>
      <w:r>
        <w:rPr>
          <w:rStyle w:val="OperatorTok"/>
        </w:rPr>
        <w:t>,</w:t>
      </w:r>
      <w:r>
        <w:br/>
      </w:r>
      <w:r>
        <w:rPr>
          <w:rStyle w:val="NormalTok"/>
        </w:rPr>
        <w:t xml:space="preserve">        CancellationToken cancellationToken </w:t>
      </w:r>
      <w:r>
        <w:rPr>
          <w:rStyle w:val="OperatorTok"/>
        </w:rPr>
        <w:t>=</w:t>
      </w:r>
      <w:r>
        <w:rPr>
          <w:rStyle w:val="NormalTok"/>
        </w:rPr>
        <w:t xml:space="preserve"> </w:t>
      </w:r>
      <w:r>
        <w:rPr>
          <w:rStyle w:val="KeywordTok"/>
        </w:rPr>
        <w:t>default</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افتراض 1: فحص مفتاح تكرار التنفيذ الآمن - Idempotency Key سريع.</w:t>
      </w:r>
      <w:r>
        <w:br/>
      </w:r>
      <w:r>
        <w:rPr>
          <w:rStyle w:val="NormalTok"/>
        </w:rPr>
        <w:t xml:space="preserve">        </w:t>
      </w:r>
      <w:r>
        <w:rPr>
          <w:rStyle w:val="CommentTok"/>
        </w:rPr>
        <w:t>// الواقع: _cache هو نسخة Redis بعيدة. النشرات الباردة - Cold Starts</w:t>
      </w:r>
      <w:r>
        <w:br/>
      </w:r>
      <w:r>
        <w:rPr>
          <w:rStyle w:val="NormalTok"/>
        </w:rPr>
        <w:t xml:space="preserve">        </w:t>
      </w:r>
      <w:r>
        <w:rPr>
          <w:rStyle w:val="CommentTok"/>
        </w:rPr>
        <w:t>// تضيف 50-200ms. المستدعون الأعلى لديهم مهلة 100ms.</w:t>
      </w:r>
      <w:r>
        <w:br/>
      </w:r>
      <w:r>
        <w:rPr>
          <w:rStyle w:val="NormalTok"/>
        </w:rPr>
        <w:t xml:space="preserve">        </w:t>
      </w:r>
      <w:r>
        <w:rPr>
          <w:rStyle w:val="CommentTok"/>
        </w:rPr>
        <w:t>// يعمل بشكل مثالي حتى يفشل فجأة تحت ضغط الإنتاج.</w:t>
      </w:r>
      <w:r>
        <w:br/>
      </w:r>
      <w:r>
        <w:rPr>
          <w:rStyle w:val="NormalTok"/>
        </w:rPr>
        <w:t xml:space="preserve">        </w:t>
      </w:r>
      <w:r>
        <w:rPr>
          <w:rStyle w:val="DataTypeTok"/>
        </w:rPr>
        <w:t>var</w:t>
      </w:r>
      <w:r>
        <w:rPr>
          <w:rStyle w:val="NormalTok"/>
        </w:rPr>
        <w:t xml:space="preserve"> cachedResult </w:t>
      </w:r>
      <w:r>
        <w:rPr>
          <w:rStyle w:val="OperatorTok"/>
        </w:rPr>
        <w:t>=</w:t>
      </w:r>
      <w:r>
        <w:rPr>
          <w:rStyle w:val="NormalTok"/>
        </w:rPr>
        <w:t xml:space="preserve"> await _cache</w:t>
      </w:r>
      <w:r>
        <w:rPr>
          <w:rStyle w:val="OperatorTok"/>
        </w:rPr>
        <w:t>.</w:t>
      </w:r>
      <w:r>
        <w:rPr>
          <w:rStyle w:val="FunctionTok"/>
        </w:rPr>
        <w:t>GetStringAsync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rPr>
          <w:rStyle w:val="NormalTok"/>
        </w:rPr>
        <w:t xml:space="preserve"> cancellationToken</w:t>
      </w:r>
      <w:r>
        <w:rPr>
          <w:rStyle w:val="OperatorTok"/>
        </w:rPr>
        <w:t>);</w:t>
      </w:r>
      <w:r>
        <w:br/>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cachedResult </w:t>
      </w:r>
      <w:r>
        <w:rPr>
          <w:rStyle w:val="KeywordTok"/>
        </w:rPr>
        <w:t>is</w:t>
      </w:r>
      <w:r>
        <w:rPr>
          <w:rStyle w:val="NormalTok"/>
        </w:rPr>
        <w:t xml:space="preserve"> not </w:t>
      </w:r>
      <w:r>
        <w:rPr>
          <w:rStyle w:val="KeywordTok"/>
        </w:rPr>
        <w:t>null</w:t>
      </w:r>
      <w:r>
        <w:rPr>
          <w:rStyle w:val="OperatorTok"/>
        </w:rPr>
        <w:t>)</w:t>
      </w:r>
      <w:r>
        <w:br/>
      </w:r>
      <w:r>
        <w:rPr>
          <w:rStyle w:val="NormalTok"/>
        </w:rPr>
        <w:t xml:space="preserve">            </w:t>
      </w:r>
      <w:r>
        <w:rPr>
          <w:rStyle w:val="KeywordTok"/>
        </w:rPr>
        <w:t>return</w:t>
      </w:r>
      <w:r>
        <w:rPr>
          <w:rStyle w:val="NormalTok"/>
        </w:rPr>
        <w:t xml:space="preserve"> JsonSerializer</w:t>
      </w:r>
      <w:r>
        <w:rPr>
          <w:rStyle w:val="OperatorTok"/>
        </w:rPr>
        <w:t>.</w:t>
      </w:r>
      <w:r>
        <w:rPr>
          <w:rStyle w:val="FunctionTok"/>
        </w:rPr>
        <w:t>Deserialize</w:t>
      </w:r>
      <w:r>
        <w:rPr>
          <w:rStyle w:val="OperatorTok"/>
        </w:rPr>
        <w:t>&lt;</w:t>
      </w:r>
      <w:r>
        <w:rPr>
          <w:rStyle w:val="NormalTok"/>
        </w:rPr>
        <w:t>PaymentResult</w:t>
      </w:r>
      <w:r>
        <w:rPr>
          <w:rStyle w:val="OperatorTok"/>
        </w:rPr>
        <w:t>&gt;(</w:t>
      </w:r>
      <w:r>
        <w:rPr>
          <w:rStyle w:val="NormalTok"/>
        </w:rPr>
        <w:t>cachedResult</w:t>
      </w:r>
      <w:r>
        <w:rPr>
          <w:rStyle w:val="OperatorTok"/>
        </w:rPr>
        <w:t>)!;</w:t>
      </w:r>
      <w:r>
        <w:br/>
      </w:r>
      <w:r>
        <w:br/>
      </w:r>
      <w:r>
        <w:rPr>
          <w:rStyle w:val="NormalTok"/>
        </w:rPr>
        <w:t xml:space="preserve">        </w:t>
      </w:r>
      <w:r>
        <w:rPr>
          <w:rStyle w:val="CommentTok"/>
        </w:rPr>
        <w:t>// افتراض 2: استدعاء البوابة محدود زمنياً بشكل ضمني.</w:t>
      </w:r>
      <w:r>
        <w:br/>
      </w:r>
      <w:r>
        <w:rPr>
          <w:rStyle w:val="NormalTok"/>
        </w:rPr>
        <w:t xml:space="preserve">        </w:t>
      </w:r>
      <w:r>
        <w:rPr>
          <w:rStyle w:val="CommentTok"/>
        </w:rPr>
        <w:t>// الواقع: لا توجد مهلة HttpClient مُعرَّفة صراحةً. البوابة تتوقف</w:t>
      </w:r>
      <w:r>
        <w:br/>
      </w:r>
      <w:r>
        <w:rPr>
          <w:rStyle w:val="NormalTok"/>
        </w:rPr>
        <w:t xml:space="preserve">        </w:t>
      </w:r>
      <w:r>
        <w:rPr>
          <w:rStyle w:val="CommentTok"/>
        </w:rPr>
        <w:t>// أحياناً لأكثر من 30 ثانية خلال حوادث الخدمة السابقة - Upstream Incidents.</w:t>
      </w:r>
      <w:r>
        <w:br/>
      </w:r>
      <w:r>
        <w:rPr>
          <w:rStyle w:val="NormalTok"/>
        </w:rPr>
        <w:t xml:space="preserve">        </w:t>
      </w:r>
      <w:r>
        <w:rPr>
          <w:rStyle w:val="CommentTok"/>
        </w:rPr>
        <w:t>// يلي ذلك استنزاف Thread Pool وتوقف الخدمة بالكامل.</w:t>
      </w:r>
      <w:r>
        <w:br/>
      </w:r>
      <w:r>
        <w:rPr>
          <w:rStyle w:val="NormalTok"/>
        </w:rPr>
        <w:t xml:space="preserve">        </w:t>
      </w:r>
      <w:r>
        <w:rPr>
          <w:rStyle w:val="DataTypeTok"/>
        </w:rPr>
        <w:t>var</w:t>
      </w:r>
      <w:r>
        <w:rPr>
          <w:rStyle w:val="NormalTok"/>
        </w:rPr>
        <w:t xml:space="preserve"> gatewayResponse </w:t>
      </w:r>
      <w:r>
        <w:rPr>
          <w:rStyle w:val="OperatorTok"/>
        </w:rPr>
        <w:t>=</w:t>
      </w:r>
      <w:r>
        <w:rPr>
          <w:rStyle w:val="NormalTok"/>
        </w:rPr>
        <w:t xml:space="preserve"> await _gateway</w:t>
      </w:r>
      <w:r>
        <w:rPr>
          <w:rStyle w:val="OperatorTok"/>
        </w:rPr>
        <w:t>.</w:t>
      </w:r>
      <w:r>
        <w:rPr>
          <w:rStyle w:val="FunctionTok"/>
        </w:rPr>
        <w:t>ChargeAsync</w:t>
      </w:r>
      <w:r>
        <w:rPr>
          <w:rStyle w:val="OperatorTok"/>
        </w:rPr>
        <w:t>(</w:t>
      </w:r>
      <w:r>
        <w:br/>
      </w:r>
      <w:r>
        <w:rPr>
          <w:rStyle w:val="NormalTok"/>
        </w:rPr>
        <w:t xml:space="preserve">            request</w:t>
      </w:r>
      <w:r>
        <w:rPr>
          <w:rStyle w:val="OperatorTok"/>
        </w:rPr>
        <w:t>.</w:t>
      </w:r>
      <w:r>
        <w:rPr>
          <w:rStyle w:val="FunctionTok"/>
        </w:rPr>
        <w:t>Amount</w:t>
      </w:r>
      <w:r>
        <w:rPr>
          <w:rStyle w:val="OperatorTok"/>
        </w:rPr>
        <w:t>,</w:t>
      </w:r>
      <w:r>
        <w:br/>
      </w:r>
      <w:r>
        <w:rPr>
          <w:rStyle w:val="NormalTok"/>
        </w:rPr>
        <w:t xml:space="preserve">            request</w:t>
      </w:r>
      <w:r>
        <w:rPr>
          <w:rStyle w:val="OperatorTok"/>
        </w:rPr>
        <w:t>.</w:t>
      </w:r>
      <w:r>
        <w:rPr>
          <w:rStyle w:val="FunctionTok"/>
        </w:rPr>
        <w:t>PaymentMethod</w:t>
      </w:r>
      <w:r>
        <w:rPr>
          <w:rStyle w:val="OperatorTok"/>
        </w:rPr>
        <w:t>,</w:t>
      </w:r>
      <w:r>
        <w:br/>
      </w:r>
      <w:r>
        <w:rPr>
          <w:rStyle w:val="NormalTok"/>
        </w:rPr>
        <w:t xml:space="preserve">            cancellationToken</w:t>
      </w:r>
      <w:r>
        <w:rPr>
          <w:rStyle w:val="OperatorTok"/>
        </w:rPr>
        <w:t>);</w:t>
      </w:r>
      <w:r>
        <w:br/>
      </w:r>
      <w:r>
        <w:br/>
      </w:r>
      <w:r>
        <w:rPr>
          <w:rStyle w:val="NormalTok"/>
        </w:rPr>
        <w:t xml:space="preserve">        </w:t>
      </w:r>
      <w:r>
        <w:rPr>
          <w:rStyle w:val="DataTypeTok"/>
        </w:rPr>
        <w:t>var</w:t>
      </w:r>
      <w:r>
        <w:rPr>
          <w:rStyle w:val="NormalTok"/>
        </w:rPr>
        <w:t xml:space="preserve"> payment </w:t>
      </w:r>
      <w:r>
        <w:rPr>
          <w:rStyle w:val="OperatorTok"/>
        </w:rPr>
        <w:t>=</w:t>
      </w:r>
      <w:r>
        <w:rPr>
          <w:rStyle w:val="NormalTok"/>
        </w:rPr>
        <w:t xml:space="preserve"> Payment</w:t>
      </w:r>
      <w:r>
        <w:rPr>
          <w:rStyle w:val="OperatorTok"/>
        </w:rPr>
        <w:t>.</w:t>
      </w:r>
      <w:r>
        <w:rPr>
          <w:rStyle w:val="FunctionTok"/>
        </w:rPr>
        <w:t>Create</w:t>
      </w:r>
      <w:r>
        <w:rPr>
          <w:rStyle w:val="OperatorTok"/>
        </w:rPr>
        <w:t>(</w:t>
      </w:r>
      <w:r>
        <w:rPr>
          <w:rStyle w:val="NormalTok"/>
        </w:rPr>
        <w:t>request</w:t>
      </w:r>
      <w:r>
        <w:rPr>
          <w:rStyle w:val="OperatorTok"/>
        </w:rPr>
        <w:t>,</w:t>
      </w:r>
      <w:r>
        <w:rPr>
          <w:rStyle w:val="NormalTok"/>
        </w:rPr>
        <w:t xml:space="preserve"> gatewayResponse</w:t>
      </w:r>
      <w:r>
        <w:rPr>
          <w:rStyle w:val="OperatorTok"/>
        </w:rPr>
        <w:t>);</w:t>
      </w:r>
      <w:r>
        <w:br/>
      </w:r>
      <w:r>
        <w:br/>
      </w:r>
      <w:r>
        <w:rPr>
          <w:rStyle w:val="NormalTok"/>
        </w:rPr>
        <w:t xml:space="preserve">        </w:t>
      </w:r>
      <w:r>
        <w:rPr>
          <w:rStyle w:val="CommentTok"/>
        </w:rPr>
        <w:t>// افتراض 3: الكتابة للقاعدة والذاكرة المؤقتة ذرية بما يكفي.</w:t>
      </w:r>
      <w:r>
        <w:br/>
      </w:r>
      <w:r>
        <w:rPr>
          <w:rStyle w:val="NormalTok"/>
        </w:rPr>
        <w:t xml:space="preserve">        </w:t>
      </w:r>
      <w:r>
        <w:rPr>
          <w:rStyle w:val="CommentTok"/>
        </w:rPr>
        <w:t>// الواقع: إذا أُعيد تشغيل العملية - Process Restart بين هذين</w:t>
      </w:r>
      <w:r>
        <w:br/>
      </w:r>
      <w:r>
        <w:rPr>
          <w:rStyle w:val="NormalTok"/>
        </w:rPr>
        <w:t xml:space="preserve">        </w:t>
      </w:r>
      <w:r>
        <w:rPr>
          <w:rStyle w:val="CommentTok"/>
        </w:rPr>
        <w:t>// السطرين، يُحفظ الدفع في القاعدة دون تخزينه مؤقتاً. فحص</w:t>
      </w:r>
      <w:r>
        <w:br/>
      </w:r>
      <w:r>
        <w:rPr>
          <w:rStyle w:val="NormalTok"/>
        </w:rPr>
        <w:t xml:space="preserve">        </w:t>
      </w:r>
      <w:r>
        <w:rPr>
          <w:rStyle w:val="CommentTok"/>
        </w:rPr>
        <w:t>// تكرار التنفيذ الآمن عند إعادة المحاولة يفشل في اكتشاف العملية الموجودة.</w:t>
      </w:r>
      <w:r>
        <w:br/>
      </w:r>
      <w:r>
        <w:rPr>
          <w:rStyle w:val="NormalTok"/>
        </w:rPr>
        <w:t xml:space="preserve">        </w:t>
      </w:r>
      <w:r>
        <w:rPr>
          <w:rStyle w:val="CommentTok"/>
        </w:rPr>
        <w:t>// النتيجة: البوابة تُحاسب العميل مرتين على نفس العملية.</w:t>
      </w:r>
      <w:r>
        <w:br/>
      </w:r>
      <w:r>
        <w:rPr>
          <w:rStyle w:val="NormalTok"/>
        </w:rPr>
        <w:t xml:space="preserve">        await _repository</w:t>
      </w:r>
      <w:r>
        <w:rPr>
          <w:rStyle w:val="OperatorTok"/>
        </w:rPr>
        <w:t>.</w:t>
      </w:r>
      <w:r>
        <w:rPr>
          <w:rStyle w:val="FunctionTok"/>
        </w:rPr>
        <w:t>SaveAsync</w:t>
      </w:r>
      <w:r>
        <w:rPr>
          <w:rStyle w:val="OperatorTok"/>
        </w:rPr>
        <w:t>(</w:t>
      </w:r>
      <w:r>
        <w:rPr>
          <w:rStyle w:val="NormalTok"/>
        </w:rPr>
        <w:t>payment</w:t>
      </w:r>
      <w:r>
        <w:rPr>
          <w:rStyle w:val="OperatorTok"/>
        </w:rPr>
        <w:t>,</w:t>
      </w:r>
      <w:r>
        <w:rPr>
          <w:rStyle w:val="NormalTok"/>
        </w:rPr>
        <w:t xml:space="preserve"> cancellationToken</w:t>
      </w:r>
      <w:r>
        <w:rPr>
          <w:rStyle w:val="OperatorTok"/>
        </w:rPr>
        <w:t>);</w:t>
      </w:r>
      <w:r>
        <w:br/>
      </w:r>
      <w:r>
        <w:rPr>
          <w:rStyle w:val="NormalTok"/>
        </w:rPr>
        <w:t xml:space="preserve">        await _cache</w:t>
      </w:r>
      <w:r>
        <w:rPr>
          <w:rStyle w:val="OperatorTok"/>
        </w:rPr>
        <w:t>.</w:t>
      </w:r>
      <w:r>
        <w:rPr>
          <w:rStyle w:val="FunctionTok"/>
        </w:rPr>
        <w:t>SetStringAsync</w:t>
      </w:r>
      <w:r>
        <w:rPr>
          <w:rStyle w:val="OperatorTok"/>
        </w:rPr>
        <w:t>(</w:t>
      </w:r>
      <w:r>
        <w:br/>
      </w:r>
      <w:r>
        <w:rPr>
          <w:rStyle w:val="NormalTok"/>
        </w:rPr>
        <w:t xml:space="preserve">            request</w:t>
      </w:r>
      <w:r>
        <w:rPr>
          <w:rStyle w:val="OperatorTok"/>
        </w:rPr>
        <w:t>.</w:t>
      </w:r>
      <w:r>
        <w:rPr>
          <w:rStyle w:val="FunctionTok"/>
        </w:rPr>
        <w:t>IdempotencyKey</w:t>
      </w:r>
      <w:r>
        <w:rPr>
          <w:rStyle w:val="OperatorTok"/>
        </w:rPr>
        <w:t>,</w:t>
      </w:r>
      <w:r>
        <w:br/>
      </w:r>
      <w:r>
        <w:rPr>
          <w:rStyle w:val="NormalTok"/>
        </w:rPr>
        <w:t xml:space="preserve">            JsonSerializer</w:t>
      </w:r>
      <w:r>
        <w:rPr>
          <w:rStyle w:val="OperatorTok"/>
        </w:rPr>
        <w:t>.</w:t>
      </w:r>
      <w:r>
        <w:rPr>
          <w:rStyle w:val="FunctionTok"/>
        </w:rPr>
        <w:t>Serialize</w:t>
      </w:r>
      <w:r>
        <w:rPr>
          <w:rStyle w:val="OperatorTok"/>
        </w:rPr>
        <w:t>(</w:t>
      </w:r>
      <w:r>
        <w:rPr>
          <w:rStyle w:val="NormalTok"/>
        </w:rPr>
        <w:t>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KeywordTok"/>
        </w:rPr>
        <w:t>new</w:t>
      </w:r>
      <w:r>
        <w:rPr>
          <w:rStyle w:val="NormalTok"/>
        </w:rPr>
        <w:t xml:space="preserve"> DistributedCacheEntryOptions</w:t>
      </w:r>
      <w:r>
        <w:br/>
      </w:r>
      <w:r>
        <w:rPr>
          <w:rStyle w:val="NormalTok"/>
        </w:rPr>
        <w:t xml:space="preserve">            </w:t>
      </w:r>
      <w:r>
        <w:rPr>
          <w:rStyle w:val="OperatorTok"/>
        </w:rPr>
        <w:t>{</w:t>
      </w:r>
      <w:r>
        <w:br/>
      </w:r>
      <w:r>
        <w:rPr>
          <w:rStyle w:val="NormalTok"/>
        </w:rPr>
        <w:t xml:space="preserve">                AbsoluteExpirationRelativeToNow </w:t>
      </w:r>
      <w:r>
        <w:rPr>
          <w:rStyle w:val="OperatorTok"/>
        </w:rPr>
        <w:t>=</w:t>
      </w:r>
      <w:r>
        <w:rPr>
          <w:rStyle w:val="NormalTok"/>
        </w:rPr>
        <w:t xml:space="preserve"> TimeSpan</w:t>
      </w:r>
      <w:r>
        <w:rPr>
          <w:rStyle w:val="OperatorTok"/>
        </w:rPr>
        <w:t>.</w:t>
      </w:r>
      <w:r>
        <w:rPr>
          <w:rStyle w:val="FunctionTok"/>
        </w:rPr>
        <w:t>FromHours</w:t>
      </w:r>
      <w:r>
        <w:rPr>
          <w:rStyle w:val="OperatorTok"/>
        </w:rPr>
        <w:t>(</w:t>
      </w:r>
      <w:r>
        <w:rPr>
          <w:rStyle w:val="DecValTok"/>
        </w:rPr>
        <w:t>24</w:t>
      </w:r>
      <w:r>
        <w:rPr>
          <w:rStyle w:val="OperatorTok"/>
        </w:rPr>
        <w:t>)</w:t>
      </w:r>
      <w:r>
        <w:br/>
      </w:r>
      <w:r>
        <w:rPr>
          <w:rStyle w:val="NormalTok"/>
        </w:rPr>
        <w:t xml:space="preserve">            </w:t>
      </w:r>
      <w:r>
        <w:rPr>
          <w:rStyle w:val="OperatorTok"/>
        </w:rPr>
        <w:t>},</w:t>
      </w:r>
      <w:r>
        <w:br/>
      </w:r>
      <w:r>
        <w:rPr>
          <w:rStyle w:val="NormalTok"/>
        </w:rPr>
        <w:t xml:space="preserve">            cancellationToken</w:t>
      </w:r>
      <w:r>
        <w:rPr>
          <w:rStyle w:val="OperatorTok"/>
        </w:rPr>
        <w:t>);</w:t>
      </w:r>
      <w:r>
        <w:br/>
      </w:r>
      <w:r>
        <w:br/>
      </w:r>
      <w:r>
        <w:rPr>
          <w:rStyle w:val="NormalTok"/>
        </w:rPr>
        <w:t xml:space="preserve">        _logger</w:t>
      </w:r>
      <w:r>
        <w:rPr>
          <w:rStyle w:val="OperatorTok"/>
        </w:rPr>
        <w:t>.</w:t>
      </w:r>
      <w:r>
        <w:rPr>
          <w:rStyle w:val="FunctionTok"/>
        </w:rPr>
        <w:t>LogInformation</w:t>
      </w:r>
      <w:r>
        <w:rPr>
          <w:rStyle w:val="OperatorTok"/>
        </w:rPr>
        <w:t>(</w:t>
      </w:r>
      <w:r>
        <w:br/>
      </w:r>
      <w:r>
        <w:rPr>
          <w:rStyle w:val="NormalTok"/>
        </w:rPr>
        <w:t xml:space="preserve">            </w:t>
      </w:r>
      <w:r>
        <w:rPr>
          <w:rStyle w:val="StringTok"/>
        </w:rPr>
        <w:t>"Payment {PaymentId} processed successfully"</w:t>
      </w:r>
      <w:r>
        <w:rPr>
          <w:rStyle w:val="OperatorTok"/>
        </w:rPr>
        <w:t>,</w:t>
      </w:r>
      <w:r>
        <w:rPr>
          <w:rStyle w:val="NormalTok"/>
        </w:rPr>
        <w:t xml:space="preserve"> payment</w:t>
      </w:r>
      <w:r>
        <w:rPr>
          <w:rStyle w:val="OperatorTok"/>
        </w:rPr>
        <w:t>.</w:t>
      </w:r>
      <w:r>
        <w:rPr>
          <w:rStyle w:val="FunctionTok"/>
        </w:rPr>
        <w:t>Id</w:t>
      </w:r>
      <w:r>
        <w:rPr>
          <w:rStyle w:val="OperatorTok"/>
        </w:rPr>
        <w:t>);</w:t>
      </w:r>
      <w:r>
        <w:br/>
      </w:r>
      <w:r>
        <w:br/>
      </w:r>
      <w:r>
        <w:rPr>
          <w:rStyle w:val="NormalTok"/>
        </w:rPr>
        <w:t xml:space="preserve">        </w:t>
      </w:r>
      <w:r>
        <w:rPr>
          <w:rStyle w:val="KeywordTok"/>
        </w:rPr>
        <w:t>return</w:t>
      </w:r>
      <w:r>
        <w:rPr>
          <w:rStyle w:val="NormalTok"/>
        </w:rPr>
        <w:t xml:space="preserve"> PaymentResult</w:t>
      </w:r>
      <w:r>
        <w:rPr>
          <w:rStyle w:val="OperatorTok"/>
        </w:rPr>
        <w:t>.</w:t>
      </w:r>
      <w:r>
        <w:rPr>
          <w:rStyle w:val="FunctionTok"/>
        </w:rPr>
        <w:t>From</w:t>
      </w:r>
      <w:r>
        <w:rPr>
          <w:rStyle w:val="OperatorTok"/>
        </w:rPr>
        <w:t>(</w:t>
      </w:r>
      <w:r>
        <w:rPr>
          <w:rStyle w:val="NormalTok"/>
        </w:rPr>
        <w:t>payment</w:t>
      </w:r>
      <w:r>
        <w:rPr>
          <w:rStyle w:val="OperatorTok"/>
        </w:rPr>
        <w:t>);</w:t>
      </w:r>
      <w:r>
        <w:br/>
      </w:r>
      <w:r>
        <w:rPr>
          <w:rStyle w:val="NormalTok"/>
        </w:rPr>
        <w:t xml:space="preserve">    </w:t>
      </w:r>
      <w:r>
        <w:rPr>
          <w:rStyle w:val="OperatorTok"/>
        </w:rPr>
        <w:t>}</w:t>
      </w:r>
      <w:r>
        <w:br/>
      </w:r>
      <w:r>
        <w:rPr>
          <w:rStyle w:val="OperatorTok"/>
        </w:rPr>
        <w:t>}</w:t>
      </w:r>
    </w:p>
    <w:p w14:paraId="24F92DC2" w14:textId="77777777" w:rsidR="00E52132" w:rsidRDefault="00000000">
      <w:pPr>
        <w:bidi/>
      </w:pPr>
      <w:r>
        <w:rPr>
          <w:rtl/>
        </w:rPr>
        <w:t>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14:paraId="065D32E3" w14:textId="77777777" w:rsidR="00E52132" w:rsidRDefault="00000000">
      <w:pPr>
        <w:bidi/>
      </w:pPr>
      <w:r>
        <w:rPr>
          <w:rtl/>
        </w:rPr>
        <w:t>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p w14:paraId="4075E5E9" w14:textId="77777777" w:rsidR="00E52132" w:rsidRDefault="00000000">
      <w:pPr>
        <w:bidi/>
      </w:pPr>
      <w:r>
        <w:rPr>
          <w:rtl/>
        </w:rPr>
        <w:t xml:space="preserve">نمط الحوادث الذي يتبع هذه الحالة مألوف لكل من عمل على نظام إنتاجي كبير. الخدمة تتدهور، ليس فجأة بل على مدى أسابيع. مقياس ينحرف. عاصفة إعادة محاولة - Retry Storm تتشكل ببطء مع تزايد كمون اعتماديّة لاحقة بزيادات صغيرة جداً لا تطلق التنبيهات. الحادث الذي ينطلق أخيراً — قمة في المهلة، خرق في معدل الخطأ — هو النهاية المرئية لسلسلة قرارات، كل منها كان معقولاً في لحظة اتخاذه، وكل منها أضاف قدراً صغيراً من المخاطر. تحقيق ما بعد الحادث يتتبع السلسلة إلى الخلف: طبقة التخزين المؤقت المضافة دون فهم أنماط الإبطال، والمهلة المرفوعة لاستيعاب اعتماديّة بطيئة، وسياسة إعادة المحاولة </w:t>
      </w:r>
      <w:r>
        <w:rPr>
          <w:rtl/>
        </w:rPr>
        <w:lastRenderedPageBreak/>
        <w:t>المكونة دون مراعاة حدود المعدل لدى الطرف اللاحق. لا قرار واحد كان متهوراً. التراكم كان غير مرئي لأن الأثر النظامي لكل قرار كان غير مرئي للمطوّر الذي اتخذه — لا من الإهمال، بل من التوزيع البنيوي للمعرفة عبر النظام.</w:t>
      </w:r>
    </w:p>
    <w:p w14:paraId="0602055F" w14:textId="77777777" w:rsidR="00E52132" w:rsidRDefault="00000000">
      <w:pPr>
        <w:pStyle w:val="Heading2"/>
        <w:bidi/>
      </w:pPr>
      <w:bookmarkStart w:id="5" w:name="القيد-الذي-يمنع-الحلول-البسيطة"/>
      <w:bookmarkEnd w:id="4"/>
      <w:r>
        <w:rPr>
          <w:rtl/>
        </w:rPr>
        <w:t>القيد الذي يمنع الحلول البسيطة</w:t>
      </w:r>
    </w:p>
    <w:p w14:paraId="1694CC4E" w14:textId="77777777" w:rsidR="00E52132" w:rsidRDefault="00000000">
      <w:pPr>
        <w:bidi/>
      </w:pPr>
      <w:r>
        <w:rPr>
          <w:rtl/>
        </w:rPr>
        <w:t>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14:paraId="656E880D" w14:textId="77777777" w:rsidR="00E52132" w:rsidRDefault="00000000">
      <w:pPr>
        <w:bidi/>
      </w:pPr>
      <w:r>
        <w:rPr>
          <w:rtl/>
        </w:rPr>
        <w:t>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14:paraId="5C665202" w14:textId="77777777" w:rsidR="00E52132" w:rsidRDefault="00000000">
      <w:pPr>
        <w:bidi/>
      </w:pPr>
      <w:r>
        <w:rPr>
          <w:rtl/>
        </w:rPr>
        <w:t>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p w14:paraId="5C64F728" w14:textId="77777777" w:rsidR="00E52132" w:rsidRDefault="00000000">
      <w:pPr>
        <w:pStyle w:val="Heading2"/>
        <w:bidi/>
      </w:pPr>
      <w:bookmarkStart w:id="6" w:name="الإدراك-المتوزع-كبنية-تحتية-هندسية"/>
      <w:bookmarkEnd w:id="5"/>
      <w:r>
        <w:rPr>
          <w:rtl/>
        </w:rPr>
        <w:t>الإدراك المتوزّع كبنية تحتية هندسية</w:t>
      </w:r>
    </w:p>
    <w:p w14:paraId="286AB0F8" w14:textId="77777777" w:rsidR="00E52132" w:rsidRDefault="00000000">
      <w:pPr>
        <w:bidi/>
      </w:pPr>
      <w:r>
        <w:rPr>
          <w:rtl/>
        </w:rPr>
        <w:t>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الموزع - Distributed Cognition. هذا يعني آليات منهجية يُلتقط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14:paraId="2013E21A" w14:textId="77777777" w:rsidR="00E52132" w:rsidRDefault="00000000">
      <w:pPr>
        <w:bidi/>
      </w:pPr>
      <w:r>
        <w:rPr>
          <w:rtl/>
        </w:rPr>
        <w:t>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14:paraId="35D5C847" w14:textId="77777777" w:rsidR="00E52132" w:rsidRDefault="00000000">
      <w:pPr>
        <w:bidi/>
      </w:pPr>
      <w:r>
        <w:rPr>
          <w:rtl/>
        </w:rPr>
        <w:t>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14:paraId="6571148C" w14:textId="77777777" w:rsidR="00E52132" w:rsidRDefault="00000000">
      <w:pPr>
        <w:bidi/>
      </w:pPr>
      <w:r>
        <w:rPr>
          <w:rtl/>
        </w:rPr>
        <w:t>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p w14:paraId="3E2E2703" w14:textId="77777777" w:rsidR="00E52132" w:rsidRDefault="00000000">
      <w:pPr>
        <w:pStyle w:val="Heading2"/>
        <w:bidi/>
      </w:pPr>
      <w:bookmarkStart w:id="7" w:name="X57540adb2b5c27dee798b11588878585b21d5cd"/>
      <w:bookmarkEnd w:id="6"/>
      <w:r>
        <w:rPr>
          <w:rtl/>
        </w:rPr>
        <w:lastRenderedPageBreak/>
        <w:t>النموذج الهندسي الجديد: التطوير المتمحور حول المعمارية</w:t>
      </w:r>
    </w:p>
    <w:p w14:paraId="0B9B6400" w14:textId="77777777" w:rsidR="00E52132" w:rsidRDefault="00000000">
      <w:pPr>
        <w:bidi/>
      </w:pPr>
      <w:r>
        <w:rPr>
          <w:rtl/>
        </w:rPr>
        <w:t xml:space="preserve">ما يتغيّر جوهرياً، في مواجهة التعقيد النظامي الذي لا يمكن اختزاله، هو مركز ثقل المهمة الهندسية. النشاط الهندسي الأساسي يتحوّل من </w:t>
      </w:r>
      <w:r>
        <w:rPr>
          <w:i/>
          <w:iCs/>
          <w:rtl/>
        </w:rPr>
        <w:t>كتابة كود يُنفّذ سلوكاً محدداً</w:t>
      </w:r>
      <w:r>
        <w:rPr>
          <w:rtl/>
        </w:rPr>
        <w:t xml:space="preserve"> إلى </w:t>
      </w:r>
      <w:r>
        <w:rPr>
          <w:i/>
          <w:iCs/>
          <w:rtl/>
        </w:rPr>
        <w:t>تصميم أنظمة يمكن التنبؤ بسلوكها بثقة تحت الظروف التشغيلية الحقيقية والتحكم فيه عند الحاجة</w:t>
      </w:r>
      <w:r>
        <w:rPr>
          <w:rtl/>
        </w:rPr>
        <w:t>. الفارق بين هاتين الصياغتين ليس لفظياً — إنه يصف مستوى مختلفاً تماماً من التحليل والمسؤولية الهندسية.</w:t>
      </w:r>
    </w:p>
    <w:p w14:paraId="63581988" w14:textId="77777777" w:rsidR="00E52132" w:rsidRDefault="00000000">
      <w:pPr>
        <w:bidi/>
      </w:pPr>
      <w:r>
        <w:rPr>
          <w:rtl/>
        </w:rPr>
        <w:t>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14:paraId="45D865D3" w14:textId="77777777" w:rsidR="00E52132" w:rsidRDefault="00000000">
      <w:pPr>
        <w:bidi/>
      </w:pPr>
      <w:r>
        <w:rPr>
          <w:rtl/>
        </w:rPr>
        <w:t>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p w14:paraId="19C72D51" w14:textId="77777777" w:rsidR="00E52132" w:rsidRDefault="00000000">
      <w:r>
        <w:pict w14:anchorId="51803A06">
          <v:rect id="_x0000_i1025" style="width:0;height:1.5pt" o:hralign="center" o:hrstd="t" o:hr="t"/>
        </w:pict>
      </w:r>
    </w:p>
    <w:p w14:paraId="092231DA" w14:textId="77777777" w:rsidR="00E52132" w:rsidRDefault="00000000">
      <w:pPr>
        <w:bidi/>
        <w:sectPr w:rsidR="00E52132" w:rsidSect="00034616">
          <w:headerReference w:type="default" r:id="rId9"/>
          <w:footerReference w:type="default" r:id="rId10"/>
          <w:headerReference w:type="first" r:id="rId11"/>
          <w:footerReference w:type="first" r:id="rId12"/>
          <w:pgSz w:w="11906" w:h="16838"/>
          <w:pgMar w:top="1134" w:right="1021" w:bottom="1418" w:left="1588" w:header="567" w:footer="680" w:gutter="0"/>
          <w:cols w:space="720"/>
          <w:titlePg/>
          <w:docGrid w:linePitch="360"/>
        </w:sectPr>
      </w:pPr>
      <w:r>
        <w:rPr>
          <w:i/>
          <w:iCs/>
          <w:rtl/>
        </w:rPr>
        <w:t>استعرض القسم الأول الظروف البنيوية التي تجعل تعقيد البرمجيات الحديثة مختلفاً نوعياً عن التعقيد التاريخي. القسم الثاني يفحص الطرق المحددة التي تنهار بها سير عمل التطوير التقليدية — الفعّالة للأنظمة عند مستوى واحد من التعقيد — تحت المتطلبات التشغيلية للأنظمة الموزعة الحديثة، ولماذا يخلق هذا الانهيار الظروف التي تجعل الهندسة بمساعدة الذكاء الاصطناعي قادرة على تقديم قيمة معمارية حقيقية لا مجرد مكاسب إنتاجية سطحية.</w:t>
      </w:r>
    </w:p>
    <w:bookmarkEnd w:id="0"/>
    <w:bookmarkEnd w:id="7"/>
    <w:p w14:paraId="7FDF3F39" w14:textId="77777777" w:rsidR="00E52132" w:rsidRDefault="00000000">
      <w:pPr>
        <w:spacing w:after="0" w:line="240" w:lineRule="auto"/>
        <w:jc w:val="center"/>
      </w:pPr>
      <w:r>
        <w:rPr>
          <w:noProof/>
        </w:rPr>
        <w:lastRenderedPageBreak/>
        <w:drawing>
          <wp:inline distT="0" distB="0" distL="0" distR="0" wp14:anchorId="3F3ECBBA" wp14:editId="671A6659">
            <wp:extent cx="7560000" cy="10692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cover.jpg"/>
                    <pic:cNvPicPr/>
                  </pic:nvPicPr>
                  <pic:blipFill>
                    <a:blip r:embed="rId13"/>
                    <a:stretch>
                      <a:fillRect/>
                    </a:stretch>
                  </pic:blipFill>
                  <pic:spPr>
                    <a:xfrm>
                      <a:off x="0" y="0"/>
                      <a:ext cx="7560000" cy="10692000"/>
                    </a:xfrm>
                    <a:prstGeom prst="rect">
                      <a:avLst/>
                    </a:prstGeom>
                  </pic:spPr>
                </pic:pic>
              </a:graphicData>
            </a:graphic>
          </wp:inline>
        </w:drawing>
      </w:r>
    </w:p>
    <w:sectPr w:rsidR="00E52132">
      <w:pgSz w:w="11906" w:h="16838"/>
      <w:pgMar w:top="0" w:right="0" w:bottom="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AE817" w14:textId="77777777" w:rsidR="001134C7" w:rsidRDefault="001134C7">
      <w:pPr>
        <w:spacing w:after="0" w:line="240" w:lineRule="auto"/>
      </w:pPr>
      <w:r>
        <w:separator/>
      </w:r>
    </w:p>
  </w:endnote>
  <w:endnote w:type="continuationSeparator" w:id="0">
    <w:p w14:paraId="6682860E" w14:textId="77777777" w:rsidR="001134C7" w:rsidRDefault="00113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panose1 w:val="00000000000000000000"/>
    <w:charset w:val="00"/>
    <w:family w:val="auto"/>
    <w:pitch w:val="variable"/>
    <w:sig w:usb0="E00002FF" w:usb1="4000201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5E21" w14:textId="77777777" w:rsidR="00E52132" w:rsidRDefault="00000000">
    <w:pPr>
      <w:pStyle w:val="Footer"/>
      <w:spacing w:before="40"/>
      <w:jc w:val="center"/>
    </w:pPr>
    <w:r>
      <w:rPr>
        <w:rFonts w:ascii="Open Sans"/>
        <w:color w:val="78411E"/>
        <w:sz w:val="18"/>
      </w:rPr>
      <w:t>—</w:t>
    </w:r>
    <w:r>
      <w:rPr>
        <w:rFonts w:ascii="Open Sans"/>
        <w:color w:val="78411E"/>
        <w:sz w:val="18"/>
      </w:rPr>
      <w:t xml:space="preserve"> </w:t>
    </w:r>
    <w:r>
      <w:fldChar w:fldCharType="begin"/>
    </w:r>
    <w:r>
      <w:instrText xml:space="preserve"> PAGE </w:instrText>
    </w:r>
    <w:r>
      <w:fldChar w:fldCharType="separate"/>
    </w:r>
    <w:r>
      <w:rPr>
        <w:rFonts w:ascii="Open Sans"/>
        <w:color w:val="78411E"/>
        <w:sz w:val="18"/>
      </w:rPr>
      <w:t>1</w:t>
    </w:r>
    <w:r>
      <w:rPr>
        <w:rFonts w:ascii="Open Sans"/>
        <w:color w:val="78411E"/>
        <w:sz w:val="18"/>
      </w:rPr>
      <w:fldChar w:fldCharType="end"/>
    </w:r>
    <w:r>
      <w:rPr>
        <w:rFonts w:ascii="Open Sans"/>
        <w:color w:val="78411E"/>
        <w:sz w:val="18"/>
      </w:rPr>
      <w:t xml:space="preserve"> </w:t>
    </w:r>
    <w:r>
      <w:rPr>
        <w:rFonts w:ascii="Open Sans"/>
        <w:color w:val="78411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F3584" w14:textId="77777777" w:rsidR="00E52132" w:rsidRDefault="00E521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91B0B" w14:textId="77777777" w:rsidR="001134C7" w:rsidRDefault="001134C7">
      <w:pPr>
        <w:spacing w:after="0" w:line="240" w:lineRule="auto"/>
      </w:pPr>
      <w:r>
        <w:separator/>
      </w:r>
    </w:p>
  </w:footnote>
  <w:footnote w:type="continuationSeparator" w:id="0">
    <w:p w14:paraId="675F1F9F" w14:textId="77777777" w:rsidR="001134C7" w:rsidRDefault="00113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8E6C" w14:textId="77777777" w:rsidR="00E52132" w:rsidRDefault="00000000">
    <w:pPr>
      <w:pStyle w:val="Header"/>
      <w:jc w:val="right"/>
    </w:pPr>
    <w:r>
      <w:rPr>
        <w:rFonts w:ascii="Open Sans" w:hAnsi="Open Sans"/>
        <w:color w:val="8C735A"/>
        <w:sz w:val="15"/>
      </w:rPr>
      <w:t>AI-Assisted Professional Engineering with .NET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B3158" w14:textId="77777777" w:rsidR="00E52132" w:rsidRDefault="00E521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34678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91200089">
    <w:abstractNumId w:val="8"/>
  </w:num>
  <w:num w:numId="2" w16cid:durableId="165244631">
    <w:abstractNumId w:val="6"/>
  </w:num>
  <w:num w:numId="3" w16cid:durableId="281497018">
    <w:abstractNumId w:val="5"/>
  </w:num>
  <w:num w:numId="4" w16cid:durableId="453407865">
    <w:abstractNumId w:val="4"/>
  </w:num>
  <w:num w:numId="5" w16cid:durableId="2142962873">
    <w:abstractNumId w:val="7"/>
  </w:num>
  <w:num w:numId="6" w16cid:durableId="2106805551">
    <w:abstractNumId w:val="3"/>
  </w:num>
  <w:num w:numId="7" w16cid:durableId="649596283">
    <w:abstractNumId w:val="2"/>
  </w:num>
  <w:num w:numId="8" w16cid:durableId="1615214647">
    <w:abstractNumId w:val="1"/>
  </w:num>
  <w:num w:numId="9" w16cid:durableId="296762564">
    <w:abstractNumId w:val="0"/>
  </w:num>
  <w:num w:numId="10" w16cid:durableId="7783335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4C7"/>
    <w:rsid w:val="0015074B"/>
    <w:rsid w:val="001F655D"/>
    <w:rsid w:val="0029639D"/>
    <w:rsid w:val="00326F90"/>
    <w:rsid w:val="0091747C"/>
    <w:rsid w:val="00AA1D8D"/>
    <w:rsid w:val="00B47730"/>
    <w:rsid w:val="00CB0664"/>
    <w:rsid w:val="00E521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959F1D"/>
  <w15:docId w15:val="{AAED846D-8D7E-4BE4-A5CC-314E8E2B5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Segoe UI" w:eastAsia="Segoe UI" w:hAnsi="Segoe UI" w:cs="Segoe UI"/>
      <w:color w:val="282828"/>
      <w:sz w:val="21"/>
    </w:rPr>
  </w:style>
  <w:style w:type="paragraph" w:styleId="Heading1">
    <w:name w:val="heading 1"/>
    <w:basedOn w:val="Normal"/>
    <w:next w:val="Normal"/>
    <w:link w:val="Heading1Char"/>
    <w:uiPriority w:val="9"/>
    <w:qFormat/>
    <w:rsid w:val="00FC693F"/>
    <w:pPr>
      <w:keepNext/>
      <w:keepLines/>
      <w:spacing w:before="720" w:after="360" w:line="252" w:lineRule="auto"/>
      <w:outlineLvl w:val="0"/>
    </w:pPr>
    <w:rPr>
      <w:rFonts w:asciiTheme="majorHAnsi" w:eastAsiaTheme="majorEastAsia" w:hAnsiTheme="majorHAnsi" w:cstheme="majorBidi"/>
      <w:b/>
      <w:bCs/>
      <w:color w:val="78411E"/>
      <w:sz w:val="48"/>
      <w:szCs w:val="28"/>
    </w:rPr>
  </w:style>
  <w:style w:type="paragraph" w:styleId="Heading2">
    <w:name w:val="heading 2"/>
    <w:basedOn w:val="Normal"/>
    <w:next w:val="Normal"/>
    <w:link w:val="Heading2Char"/>
    <w:uiPriority w:val="9"/>
    <w:unhideWhenUsed/>
    <w:qFormat/>
    <w:rsid w:val="00FC693F"/>
    <w:pPr>
      <w:keepNext/>
      <w:keepLines/>
      <w:spacing w:before="480" w:after="200" w:line="264" w:lineRule="auto"/>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360" w:after="120" w:line="264" w:lineRule="auto"/>
      <w:outlineLvl w:val="2"/>
    </w:pPr>
    <w:rPr>
      <w:rFonts w:asciiTheme="majorHAnsi" w:eastAsiaTheme="majorEastAsia" w:hAnsiTheme="majorHAnsi" w:cstheme="majorBidi"/>
      <w:b/>
      <w:bCs/>
      <w:color w:val="5050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Cs/>
      <w:color w:val="969696"/>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969696"/>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969696"/>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969696"/>
      <w:sz w:val="2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6969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val="0"/>
      <w:bCs/>
      <w:i w:val="0"/>
      <w:color w:val="969696"/>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val="0"/>
      <w:bCs/>
      <w:i w:val="0"/>
      <w:color w:val="969696"/>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val="0"/>
      <w:bCs/>
      <w:i w:val="0"/>
      <w:color w:val="969696"/>
      <w:sz w:val="20"/>
    </w:rPr>
  </w:style>
  <w:style w:type="paragraph" w:styleId="Title">
    <w:name w:val="Title"/>
    <w:basedOn w:val="Normal"/>
    <w:next w:val="Normal"/>
    <w:link w:val="TitleChar"/>
    <w:uiPriority w:val="10"/>
    <w:qFormat/>
    <w:rsid w:val="00FC693F"/>
    <w:pPr>
      <w:keepNext/>
      <w:pBdr>
        <w:bottom w:val="single" w:sz="8" w:space="4" w:color="4F81BD" w:themeColor="accent1"/>
      </w:pBdr>
      <w:spacing w:before="720" w:after="360" w:line="252" w:lineRule="auto"/>
      <w:contextualSpacing/>
    </w:pPr>
    <w:rPr>
      <w:rFonts w:asciiTheme="majorHAnsi" w:eastAsiaTheme="majorEastAsia" w:hAnsiTheme="majorHAnsi" w:cstheme="majorBidi"/>
      <w:b/>
      <w:color w:val="7841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96969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b w:val="0"/>
      <w:i w:val="0"/>
      <w:iCs/>
      <w:color w:val="969696"/>
      <w:spacing w:val="15"/>
      <w:sz w:val="2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val="0"/>
      <w:bCs/>
      <w:i w:val="0"/>
      <w:iCs/>
      <w:color w:val="969696"/>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b w:val="0"/>
      <w:i w:val="0"/>
      <w:color w:val="969696"/>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b w:val="0"/>
      <w:i w:val="0"/>
      <w:iCs/>
      <w:color w:val="969696"/>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b w:val="0"/>
      <w:i w:val="0"/>
      <w:iCs/>
      <w:color w:val="969696"/>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b w:val="0"/>
      <w:i w:val="0"/>
      <w:color w:val="96969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rFonts w:ascii="Open Sans" w:eastAsia="Open Sans" w:hAnsi="Open Sans" w:cs="Open Sans"/>
      <w:bCs/>
      <w:i/>
      <w:color w:val="8C73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Open Sans" w:eastAsia="Open Sans" w:hAnsi="Open Sans" w:cs="Open Sans"/>
      <w:bCs/>
      <w:iCs/>
      <w:color w:val="969696"/>
      <w:sz w:val="20"/>
    </w:rPr>
  </w:style>
  <w:style w:type="character" w:customStyle="1" w:styleId="IntenseQuoteChar">
    <w:name w:val="Intense Quote Char"/>
    <w:basedOn w:val="DefaultParagraphFont"/>
    <w:link w:val="IntenseQuote"/>
    <w:uiPriority w:val="30"/>
    <w:rsid w:val="00FC693F"/>
    <w:rPr>
      <w:rFonts w:ascii="Open Sans" w:eastAsia="Open Sans" w:hAnsi="Open Sans" w:cs="Open Sans"/>
      <w:b w:val="0"/>
      <w:bCs/>
      <w:i w:val="0"/>
      <w:iCs/>
      <w:color w:val="969696"/>
      <w:sz w:val="2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rFonts w:ascii="Open Sans" w:eastAsia="Open Sans" w:hAnsi="Open Sans" w:cs="Open Sans"/>
      <w:b w:val="0"/>
      <w:bCs/>
      <w:i w:val="0"/>
      <w:iCs/>
      <w:color w:val="969696"/>
      <w:sz w:val="2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CaptionedFigure">
    <w:name w:val="CaptionedFigure"/>
    <w:pPr>
      <w:spacing w:after="0"/>
      <w:jc w:val="center"/>
    </w:pPr>
    <w:rPr>
      <w:rFonts w:ascii="Segoe UI" w:eastAsia="Segoe UI" w:hAnsi="Segoe UI" w:cs="Segoe UI"/>
      <w:color w:val="282828"/>
      <w:sz w:val="21"/>
    </w:rPr>
  </w:style>
  <w:style w:type="paragraph" w:customStyle="1" w:styleId="ImageCaption">
    <w:name w:val="ImageCaption"/>
    <w:pPr>
      <w:spacing w:after="160" w:line="240" w:lineRule="auto"/>
      <w:jc w:val="center"/>
    </w:pPr>
    <w:rPr>
      <w:rFonts w:ascii="Open Sans" w:eastAsia="Open Sans" w:hAnsi="Open Sans" w:cs="Open Sans"/>
      <w:b/>
      <w:color w:val="8C735A"/>
      <w:sz w:val="18"/>
    </w:rPr>
  </w:style>
  <w:style w:type="paragraph" w:customStyle="1" w:styleId="BookBody">
    <w:name w:val="BookBody"/>
    <w:pPr>
      <w:spacing w:after="60"/>
      <w:jc w:val="both"/>
    </w:pPr>
    <w:rPr>
      <w:rFonts w:ascii="Segoe UI" w:eastAsia="Segoe UI" w:hAnsi="Segoe UI" w:cs="Segoe UI"/>
      <w:color w:val="282828"/>
      <w:sz w:val="21"/>
    </w:rPr>
  </w:style>
  <w:style w:type="paragraph" w:customStyle="1" w:styleId="BookHeading1">
    <w:name w:val="BookHeading1"/>
    <w:pPr>
      <w:keepNext/>
      <w:spacing w:before="720" w:after="360" w:line="252" w:lineRule="auto"/>
    </w:pPr>
    <w:rPr>
      <w:rFonts w:ascii="Open Sans" w:eastAsia="Open Sans" w:hAnsi="Open Sans" w:cs="Open Sans"/>
      <w:b/>
      <w:color w:val="78411E"/>
      <w:sz w:val="48"/>
    </w:rPr>
  </w:style>
  <w:style w:type="paragraph" w:customStyle="1" w:styleId="BookHeading2">
    <w:name w:val="BookHeading2"/>
    <w:pPr>
      <w:keepNext/>
      <w:spacing w:before="480" w:line="264" w:lineRule="auto"/>
    </w:pPr>
    <w:rPr>
      <w:rFonts w:ascii="Open Sans" w:eastAsia="Open Sans" w:hAnsi="Open Sans" w:cs="Open Sans"/>
      <w:b/>
      <w:color w:val="282828"/>
      <w:sz w:val="32"/>
    </w:rPr>
  </w:style>
  <w:style w:type="paragraph" w:customStyle="1" w:styleId="BookHeading3">
    <w:name w:val="BookHeading3"/>
    <w:pPr>
      <w:keepNext/>
      <w:spacing w:before="360" w:after="120" w:line="264" w:lineRule="auto"/>
    </w:pPr>
    <w:rPr>
      <w:rFonts w:ascii="Open Sans" w:eastAsia="Open Sans" w:hAnsi="Open Sans" w:cs="Open Sans"/>
      <w:b/>
      <w:color w:val="505050"/>
      <w:sz w:val="26"/>
    </w:rPr>
  </w:style>
  <w:style w:type="paragraph" w:customStyle="1" w:styleId="BookCode">
    <w:name w:val="Book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BookQuote">
    <w:name w:val="BookQuote"/>
    <w:pPr>
      <w:pBdr>
        <w:left w:val="single" w:sz="10" w:space="6" w:color="78411E"/>
      </w:pBdr>
      <w:shd w:val="clear" w:color="auto" w:fill="F5F2F0"/>
      <w:spacing w:before="160" w:after="160" w:line="264" w:lineRule="auto"/>
      <w:ind w:left="680" w:right="680"/>
    </w:pPr>
    <w:rPr>
      <w:rFonts w:ascii="Segoe UI" w:eastAsia="Segoe UI" w:hAnsi="Segoe UI" w:cs="Segoe UI"/>
      <w:i/>
      <w:color w:val="505050"/>
      <w:sz w:val="21"/>
    </w:rPr>
  </w:style>
  <w:style w:type="table" w:customStyle="1" w:styleId="BookTable">
    <w:name w:val="BookTable"/>
    <w:rPr>
      <w:rFonts w:ascii="Segoe UI" w:eastAsia="Segoe UI" w:hAnsi="Segoe UI" w:cs="Segoe UI"/>
      <w:color w:val="282828"/>
      <w:sz w:val="18"/>
    </w:rPr>
    <w:tblPr>
      <w:tblBorders>
        <w:top w:val="single" w:sz="6" w:space="0" w:color="78411E"/>
        <w:bottom w:val="single" w:sz="6" w:space="0" w:color="78411E"/>
        <w:insideH w:val="single" w:sz="4" w:space="0" w:color="C8B8A8"/>
      </w:tblBorders>
      <w:tblCellMar>
        <w:top w:w="0" w:type="dxa"/>
        <w:left w:w="0" w:type="dxa"/>
        <w:bottom w:w="0" w:type="dxa"/>
        <w:right w:w="0" w:type="dxa"/>
      </w:tblCellMar>
    </w:tblPr>
  </w:style>
  <w:style w:type="paragraph" w:customStyle="1" w:styleId="BookCaption">
    <w:name w:val="BookCaption"/>
    <w:pPr>
      <w:spacing w:after="160" w:line="240" w:lineRule="auto"/>
      <w:jc w:val="center"/>
    </w:pPr>
    <w:rPr>
      <w:rFonts w:ascii="Open Sans" w:eastAsia="Open Sans" w:hAnsi="Open Sans" w:cs="Open Sans"/>
      <w:i/>
      <w:color w:val="8C735A"/>
      <w:sz w:val="18"/>
    </w:rPr>
  </w:style>
  <w:style w:type="character" w:customStyle="1" w:styleId="BookInlineCode">
    <w:name w:val="BookInlineCode"/>
    <w:rPr>
      <w:rFonts w:ascii="Consolas" w:eastAsia="Consolas" w:hAnsi="Consolas" w:cs="Consolas"/>
      <w:b w:val="0"/>
      <w:i w:val="0"/>
      <w:color w:val="C8823C"/>
      <w:sz w:val="18"/>
    </w:rPr>
  </w:style>
  <w:style w:type="paragraph" w:customStyle="1" w:styleId="BookDate">
    <w:name w:val="BookDate"/>
    <w:pPr>
      <w:spacing w:after="720"/>
      <w:jc w:val="center"/>
    </w:pPr>
    <w:rPr>
      <w:rFonts w:ascii="Segoe UI" w:eastAsia="Segoe UI" w:hAnsi="Segoe UI" w:cs="Segoe UI"/>
      <w:i/>
      <w:color w:val="969696"/>
      <w:sz w:val="21"/>
    </w:rPr>
  </w:style>
  <w:style w:type="paragraph" w:customStyle="1" w:styleId="BookImageCaption">
    <w:name w:val="BookImageCaption"/>
    <w:pPr>
      <w:spacing w:before="120" w:after="240" w:line="240" w:lineRule="auto"/>
      <w:jc w:val="center"/>
    </w:pPr>
    <w:rPr>
      <w:rFonts w:ascii="Open Sans" w:eastAsia="Open Sans" w:hAnsi="Open Sans" w:cs="Open Sans"/>
      <w:i/>
      <w:color w:val="8C735A"/>
      <w:sz w:val="18"/>
    </w:rPr>
  </w:style>
  <w:style w:type="paragraph" w:customStyle="1" w:styleId="BookTOC1">
    <w:name w:val="BookTOC1"/>
    <w:pPr>
      <w:spacing w:before="120" w:after="40" w:line="312" w:lineRule="auto"/>
    </w:pPr>
    <w:rPr>
      <w:rFonts w:ascii="Open Sans" w:eastAsia="Open Sans" w:hAnsi="Open Sans" w:cs="Open Sans"/>
      <w:b/>
      <w:color w:val="282828"/>
      <w:sz w:val="24"/>
    </w:rPr>
  </w:style>
  <w:style w:type="paragraph" w:customStyle="1" w:styleId="BookTOC2">
    <w:name w:val="BookTOC2"/>
    <w:pPr>
      <w:spacing w:before="40" w:after="40" w:line="288" w:lineRule="auto"/>
      <w:ind w:left="850"/>
    </w:pPr>
    <w:rPr>
      <w:rFonts w:ascii="Open Sans" w:eastAsia="Open Sans" w:hAnsi="Open Sans" w:cs="Open Sans"/>
      <w:color w:val="282828"/>
    </w:rPr>
  </w:style>
  <w:style w:type="paragraph" w:customStyle="1" w:styleId="BookTOC3">
    <w:name w:val="BookTOC3"/>
    <w:pPr>
      <w:spacing w:before="20" w:after="20" w:line="288" w:lineRule="auto"/>
      <w:ind w:left="1701"/>
    </w:pPr>
    <w:rPr>
      <w:rFonts w:ascii="Open Sans" w:eastAsia="Open Sans" w:hAnsi="Open Sans" w:cs="Open Sans"/>
      <w:color w:val="505050"/>
      <w:sz w:val="20"/>
    </w:rPr>
  </w:style>
  <w:style w:type="character" w:customStyle="1" w:styleId="KeywordTok">
    <w:name w:val="KeywordTok"/>
    <w:rPr>
      <w:b/>
      <w:color w:val="F92672"/>
    </w:rPr>
  </w:style>
  <w:style w:type="character" w:customStyle="1" w:styleId="DataTypeTok">
    <w:name w:val="DataTypeTok"/>
    <w:rPr>
      <w:color w:val="A6E22E"/>
    </w:rPr>
  </w:style>
  <w:style w:type="character" w:customStyle="1" w:styleId="DecValTok">
    <w:name w:val="DecValTok"/>
    <w:rPr>
      <w:color w:val="AE81FF"/>
    </w:rPr>
  </w:style>
  <w:style w:type="character" w:customStyle="1" w:styleId="BaseNTok">
    <w:name w:val="BaseNTok"/>
    <w:rPr>
      <w:color w:val="AE81FF"/>
    </w:rPr>
  </w:style>
  <w:style w:type="character" w:customStyle="1" w:styleId="FloatTok">
    <w:name w:val="FloatTok"/>
    <w:rPr>
      <w:color w:val="AE81FF"/>
    </w:rPr>
  </w:style>
  <w:style w:type="character" w:customStyle="1" w:styleId="ConstantTok">
    <w:name w:val="ConstantTok"/>
    <w:rPr>
      <w:b/>
      <w:color w:val="AE81FF"/>
    </w:rPr>
  </w:style>
  <w:style w:type="character" w:customStyle="1" w:styleId="CharTok">
    <w:name w:val="CharTok"/>
    <w:rPr>
      <w:color w:val="E6DB74"/>
    </w:rPr>
  </w:style>
  <w:style w:type="character" w:customStyle="1" w:styleId="SpecialCharTok">
    <w:name w:val="SpecialCharTok"/>
    <w:rPr>
      <w:color w:val="E6DB74"/>
    </w:rPr>
  </w:style>
  <w:style w:type="character" w:customStyle="1" w:styleId="StringTok">
    <w:name w:val="StringTok"/>
    <w:rPr>
      <w:color w:val="E6DB74"/>
    </w:rPr>
  </w:style>
  <w:style w:type="character" w:customStyle="1" w:styleId="VerbatimStringTok">
    <w:name w:val="VerbatimStringTok"/>
    <w:rPr>
      <w:color w:val="E6DB74"/>
    </w:rPr>
  </w:style>
  <w:style w:type="character" w:customStyle="1" w:styleId="SpecialStringTok">
    <w:name w:val="SpecialStringTok"/>
    <w:rPr>
      <w:color w:val="E6DB74"/>
    </w:rPr>
  </w:style>
  <w:style w:type="character" w:customStyle="1" w:styleId="ImportTok">
    <w:name w:val="ImportTok"/>
    <w:rPr>
      <w:color w:val="A6E22E"/>
    </w:rPr>
  </w:style>
  <w:style w:type="character" w:customStyle="1" w:styleId="CommentTok">
    <w:name w:val="CommentTok"/>
    <w:rPr>
      <w:color w:val="88846F"/>
    </w:rPr>
  </w:style>
  <w:style w:type="character" w:customStyle="1" w:styleId="DocumentationTok">
    <w:name w:val="DocumentationTok"/>
    <w:rPr>
      <w:color w:val="88846F"/>
    </w:rPr>
  </w:style>
  <w:style w:type="character" w:customStyle="1" w:styleId="AnnotationTok">
    <w:name w:val="AnnotationTok"/>
    <w:rPr>
      <w:color w:val="88846F"/>
    </w:rPr>
  </w:style>
  <w:style w:type="character" w:customStyle="1" w:styleId="CommentVarTok">
    <w:name w:val="CommentVarTok"/>
    <w:rPr>
      <w:color w:val="88846F"/>
    </w:rPr>
  </w:style>
  <w:style w:type="character" w:customStyle="1" w:styleId="OtherTok">
    <w:name w:val="OtherTok"/>
    <w:rPr>
      <w:color w:val="A6E22E"/>
    </w:rPr>
  </w:style>
  <w:style w:type="character" w:customStyle="1" w:styleId="FunctionTok">
    <w:name w:val="FunctionTok"/>
    <w:rPr>
      <w:color w:val="A6E22E"/>
    </w:rPr>
  </w:style>
  <w:style w:type="character" w:customStyle="1" w:styleId="VariableTok">
    <w:name w:val="VariableTok"/>
    <w:rPr>
      <w:color w:val="FD971F"/>
    </w:rPr>
  </w:style>
  <w:style w:type="character" w:customStyle="1" w:styleId="ControlFlowTok">
    <w:name w:val="ControlFlowTok"/>
    <w:rPr>
      <w:b/>
      <w:color w:val="F92672"/>
    </w:rPr>
  </w:style>
  <w:style w:type="character" w:customStyle="1" w:styleId="OperatorTok">
    <w:name w:val="OperatorTok"/>
    <w:rPr>
      <w:color w:val="F92672"/>
    </w:rPr>
  </w:style>
  <w:style w:type="character" w:customStyle="1" w:styleId="BuiltInTok">
    <w:name w:val="BuiltInTok"/>
    <w:rPr>
      <w:color w:val="A6E22E"/>
    </w:rPr>
  </w:style>
  <w:style w:type="character" w:customStyle="1" w:styleId="ExtensionTok">
    <w:name w:val="ExtensionTok"/>
    <w:rPr>
      <w:b/>
      <w:color w:val="A6E22E"/>
    </w:rPr>
  </w:style>
  <w:style w:type="character" w:customStyle="1" w:styleId="PreprocessorTok">
    <w:name w:val="PreprocessorTok"/>
    <w:rPr>
      <w:color w:val="FD971F"/>
    </w:rPr>
  </w:style>
  <w:style w:type="character" w:customStyle="1" w:styleId="AttributeTok">
    <w:name w:val="AttributeTok"/>
    <w:rPr>
      <w:color w:val="FD971F"/>
    </w:rPr>
  </w:style>
  <w:style w:type="character" w:customStyle="1" w:styleId="RegionMarkerTok">
    <w:name w:val="RegionMarkerTok"/>
    <w:rPr>
      <w:color w:val="75715E"/>
    </w:rPr>
  </w:style>
  <w:style w:type="character" w:customStyle="1" w:styleId="InformationTok">
    <w:name w:val="InformationTok"/>
    <w:rPr>
      <w:color w:val="88846F"/>
    </w:rPr>
  </w:style>
  <w:style w:type="character" w:customStyle="1" w:styleId="WarningTok">
    <w:name w:val="WarningTok"/>
    <w:rPr>
      <w:color w:val="F44747"/>
    </w:rPr>
  </w:style>
  <w:style w:type="character" w:customStyle="1" w:styleId="AlertTok">
    <w:name w:val="AlertTok"/>
    <w:rPr>
      <w:b/>
      <w:color w:val="F44747"/>
    </w:rPr>
  </w:style>
  <w:style w:type="character" w:customStyle="1" w:styleId="ErrorTok">
    <w:name w:val="ErrorTok"/>
    <w:rPr>
      <w:color w:val="F44747"/>
    </w:rPr>
  </w:style>
  <w:style w:type="character" w:customStyle="1" w:styleId="NormalTok">
    <w:name w:val="NormalTok"/>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2890</Words>
  <Characters>16474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cp:lastModifiedBy>Tarek Najem</cp:lastModifiedBy>
  <cp:revision>2</cp:revision>
  <dcterms:created xsi:type="dcterms:W3CDTF">2026-08-20T15:18:00Z</dcterms:created>
  <dcterms:modified xsi:type="dcterms:W3CDTF">2026-08-20T18:07:00Z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