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EC398" w14:textId="77777777" w:rsidR="00EB63FE" w:rsidRDefault="00000000">
      <w:pPr>
        <w:spacing w:after="0" w:line="240" w:lineRule="auto"/>
        <w:jc w:val="center"/>
        <w:sectPr w:rsidR="00EB63FE">
          <w:pgSz w:w="11906" w:h="16838"/>
          <w:pgMar w:top="0" w:right="0" w:bottom="0" w:left="0" w:header="0" w:footer="0" w:gutter="0"/>
          <w:cols w:space="720"/>
        </w:sectPr>
      </w:pPr>
      <w:r>
        <w:rPr>
          <w:noProof/>
        </w:rPr>
        <w:drawing>
          <wp:inline distT="0" distB="0" distL="0" distR="0" wp14:anchorId="6BFE2B95" wp14:editId="10DAF4FC">
            <wp:extent cx="7560000" cy="106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cover.jpg"/>
                    <pic:cNvPicPr/>
                  </pic:nvPicPr>
                  <pic:blipFill>
                    <a:blip r:embed="rId7"/>
                    <a:stretch>
                      <a:fillRect/>
                    </a:stretch>
                  </pic:blipFill>
                  <pic:spPr>
                    <a:xfrm>
                      <a:off x="0" y="0"/>
                      <a:ext cx="7560000" cy="10692000"/>
                    </a:xfrm>
                    <a:prstGeom prst="rect">
                      <a:avLst/>
                    </a:prstGeom>
                  </pic:spPr>
                </pic:pic>
              </a:graphicData>
            </a:graphic>
          </wp:inline>
        </w:drawing>
      </w:r>
    </w:p>
    <w:p w14:paraId="02828A0B" w14:textId="77777777" w:rsidR="00EB63FE" w:rsidRDefault="00000000">
      <w:pPr>
        <w:pStyle w:val="Title"/>
      </w:pPr>
      <w:r>
        <w:rPr>
          <w:rtl/>
        </w:rPr>
        <w:lastRenderedPageBreak/>
        <w:t>AI-Assisted Professional Engineering with .NET</w:t>
      </w:r>
    </w:p>
    <w:p w14:paraId="64F68A15" w14:textId="77777777" w:rsidR="00EB63FE" w:rsidRDefault="00000000">
      <w:pPr>
        <w:pStyle w:val="Heading1"/>
        <w:bidi/>
      </w:pPr>
      <w:bookmarkStart w:id="0" w:name="X4ce809caa551ed47acfca1f58c6a11dd515e4bb"/>
      <w:r>
        <w:rPr>
          <w:rtl/>
        </w:rPr>
        <w:t>القسم الأول — أزمة التعقيد في أنظمة البرمجيات الحديثة</w:t>
      </w:r>
    </w:p>
    <w:p w14:paraId="611C2969" w14:textId="77777777" w:rsidR="00EB63FE" w:rsidRDefault="00000000">
      <w:pPr>
        <w:pStyle w:val="Heading2"/>
        <w:bidi/>
      </w:pPr>
      <w:bookmarkStart w:id="1" w:name="انهيار-الخط-الأساسي"/>
      <w:r>
        <w:rPr>
          <w:rtl/>
        </w:rPr>
        <w:t>انهيار الخط الأساسي</w:t>
      </w:r>
    </w:p>
    <w:p w14:paraId="106D9390" w14:textId="77777777" w:rsidR="00EB63FE" w:rsidRDefault="00000000">
      <w:pPr>
        <w:bidi/>
      </w:pPr>
      <w:r>
        <w:rPr>
          <w:rtl/>
        </w:rPr>
        <w:t>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للفريق، كانت أسبوعان من التعريف تُنتج فهماً عملياً وظيفياً بالنظام بأكمله.</w:t>
      </w:r>
    </w:p>
    <w:p w14:paraId="56C2BCCC" w14:textId="77777777" w:rsidR="00EB63FE" w:rsidRDefault="00000000">
      <w:pPr>
        <w:bidi/>
      </w:pPr>
      <w:r>
        <w:rPr>
          <w:rtl/>
        </w:rPr>
        <w:t>ذلك النموذج الذهني — المطوّر بوصفه حاملاً لمعرفة شاملة بالنظام — كان الأساس الذي بُنيت عليه معظم ممارسات هندسة البرمجيات. الأنماط الكلاسيكية كانت استجابات للصعوبة المعرفية في إدارة علاقات الكائنات داخل برامج يمكن للمطوّر الواحد استيعابها كاملةً. السياقات المُحدَّدة - Bounded Contexts في Domain-Driven Design اختُرعت لتمكين المطوّر من الحفاظ على تماسك محلي في نظام أكبر من أن يُنمذَج عالمياً. وقواعد الاعتماديات في Clean Architecture موجودة لتجعل الاستدلال على طبقة واحدة ممكناً دون الحاجة للإمساك بالمكدس بالكامل في الذاكرة العاملة في آن واحد.</w:t>
      </w:r>
    </w:p>
    <w:p w14:paraId="07D1D4E0" w14:textId="77777777" w:rsidR="00EB63FE" w:rsidRDefault="00000000">
      <w:pPr>
        <w:bidi/>
      </w:pPr>
      <w:r>
        <w:rPr>
          <w:rtl/>
        </w:rPr>
        <w:t>هذا النموذج انهار. ليس تدريجياً، وليس كاتجاه مجرد، بل كواقع تشغيلي ملموس يؤثر على العمل اليومي لكل مهندس يبني أنظمة إنتاجية اليوم.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p w14:paraId="17E04508" w14:textId="77777777" w:rsidR="00EB63FE" w:rsidRDefault="00000000">
      <w:pPr>
        <w:pStyle w:val="Heading2"/>
        <w:bidi/>
      </w:pPr>
      <w:bookmarkStart w:id="2" w:name="أبعاد-التعقيد-الحديث"/>
      <w:bookmarkEnd w:id="1"/>
      <w:r>
        <w:rPr>
          <w:rtl/>
        </w:rPr>
        <w:t>أبعاد التعقيد الحديث</w:t>
      </w:r>
    </w:p>
    <w:p w14:paraId="11C50B77" w14:textId="77777777" w:rsidR="00EB63FE" w:rsidRDefault="00000000">
      <w:pPr>
        <w:bidi/>
      </w:pPr>
      <w:r>
        <w:rPr>
          <w:rtl/>
        </w:rPr>
        <w:t>لفهم حجم هذا التحوّل، لا بد من الدقة في تعريف “التعقيد”. الكلمة تُستخدم عادةً مرادفةً لـ “الكبير” أو “الصعب”،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14:paraId="4F55999D" w14:textId="77777777" w:rsidR="00EB63FE" w:rsidRDefault="00000000">
      <w:pPr>
        <w:bidi/>
      </w:pPr>
      <w:r>
        <w:rPr>
          <w:b/>
          <w:bCs/>
          <w:rtl/>
        </w:rPr>
        <w:t>مساحة سطح التكامل - Integration Surface Area.</w:t>
      </w:r>
      <w:r>
        <w:rPr>
          <w:rtl/>
        </w:rPr>
        <w:t xml:space="preserve"> 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w:t>
      </w:r>
      <w:r>
        <w:rPr>
          <w:rtl/>
        </w:rPr>
        <w:lastRenderedPageBreak/>
        <w:t>كل تكامل يُدخل اعتمادية لها عقد إصدار خاص بها، وأنماط فشل محددة، وخصائص كمون - Latency، وحدود معدل استخدام - Rate Limits، وآليات استيثاق مستقلة.</w:t>
      </w:r>
    </w:p>
    <w:p w14:paraId="21F2FD85" w14:textId="77777777" w:rsidR="00EB63FE" w:rsidRDefault="00000000">
      <w:pPr>
        <w:bidi/>
      </w:pPr>
      <w:r>
        <w:rPr>
          <w:rtl/>
        </w:rPr>
        <w:t>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 دوري - DAG للاعتماديات قد يحتوي على تعارضات عبر حدود الإصدارات الرئيسية. أمر بسيط كـ dotnet add package ليس إضافة شيء واحد فحسب — إنه تعديل في مسألة حل اعتماديات معقدة قد لا يوجد لها حل مثالي في ضوء المتطلبات المتعارضة للاعتماديات المتعدية.</w:t>
      </w:r>
    </w:p>
    <w:p w14:paraId="01F496DC" w14:textId="77777777" w:rsidR="00EB63FE" w:rsidRDefault="00000000">
      <w:pPr>
        <w:bidi/>
      </w:pPr>
      <w:r>
        <w:rPr>
          <w:b/>
          <w:bCs/>
          <w:rtl/>
        </w:rPr>
        <w:t>التعقيد الزمني - Temporal Complexity.</w:t>
      </w:r>
      <w:r>
        <w:rPr>
          <w:rtl/>
        </w:rPr>
        <w:t xml:space="preserve"> 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النشرات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14:paraId="1F4C2A99" w14:textId="77777777" w:rsidR="00EB63FE" w:rsidRDefault="00000000">
      <w:pPr>
        <w:bidi/>
      </w:pPr>
      <w:r>
        <w:rPr>
          <w:b/>
          <w:bCs/>
          <w:rtl/>
        </w:rPr>
        <w:t>التعقيد التشغيلي - Operational Complexity.</w:t>
      </w:r>
      <w:r>
        <w:rPr>
          <w:rtl/>
        </w:rPr>
        <w:t xml:space="preserve"> 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والسوء في فهم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14:paraId="480AFDA9" w14:textId="77777777" w:rsidR="00EB63FE" w:rsidRDefault="00000000">
      <w:pPr>
        <w:bidi/>
      </w:pPr>
      <w:r>
        <w:rPr>
          <w:b/>
          <w:bCs/>
          <w:rtl/>
        </w:rPr>
        <w:t>التعقيد التنظيمي - Organizational Complexity.</w:t>
      </w:r>
      <w:r>
        <w:rPr>
          <w:rtl/>
        </w:rPr>
        <w:t xml:space="preserve"> 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14:paraId="68B21136" w14:textId="77777777" w:rsidR="00EB63FE" w:rsidRDefault="00000000">
      <w:pPr>
        <w:bidi/>
      </w:pPr>
      <w:r>
        <w:rPr>
          <w:rtl/>
        </w:rPr>
        <w:t>هذا المخطط يمثّل تقديراً محافظاً لمساحة 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p w14:paraId="124B3623" w14:textId="77777777" w:rsidR="00EB63FE" w:rsidRDefault="00000000">
      <w:pPr>
        <w:pStyle w:val="Heading2"/>
        <w:bidi/>
      </w:pPr>
      <w:bookmarkStart w:id="3" w:name="القصور-الهندسي-للنموذج-الذهني-الفردي"/>
      <w:bookmarkEnd w:id="2"/>
      <w:r>
        <w:rPr>
          <w:rtl/>
        </w:rPr>
        <w:t>القصور الهندسي للنموذج الذهني الفردي</w:t>
      </w:r>
    </w:p>
    <w:p w14:paraId="6A68974E" w14:textId="77777777" w:rsidR="00EB63FE" w:rsidRDefault="00000000">
      <w:pPr>
        <w:bidi/>
      </w:pPr>
      <w:r>
        <w:rPr>
          <w:rtl/>
        </w:rPr>
        <w:t xml:space="preserve">تطوّرت ممارسة هندسة البرمجيات تقريباً بالكامل حول قدرات وقيود العقل البشري الواحد. هذه حقيقة مؤسِّسة تستحق الوقوف عندها بدلاً من تجاوزها. الأنماط الكلاسيكية كانت استجابات للصعوبة المعرفية الناشئة عن إدارة علاقات الكائنات داخل برامج يمكن للمطوّر الواحد فهمها كاملةً في رأسه في أي لحظة. وهذه تقنيات هندسية ممتازة ما زالت صالحة ومهمة. لكنها صُمِّمت للتعويض عن قصور معرفي محدد </w:t>
      </w:r>
      <w:r>
        <w:rPr>
          <w:rtl/>
        </w:rPr>
        <w:lastRenderedPageBreak/>
        <w:t>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14:paraId="49818D30" w14:textId="77777777" w:rsidR="00EB63FE" w:rsidRDefault="00000000">
      <w:pPr>
        <w:bidi/>
      </w:pPr>
      <w:r>
        <w:rPr>
          <w:rtl/>
        </w:rPr>
        <w:t>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وأربعمئة وأربعون اختبار تكامل. تغطية الاختبار 78%.</w:t>
      </w:r>
    </w:p>
    <w:p w14:paraId="0A123BF7" w14:textId="77777777" w:rsidR="00EB63FE" w:rsidRDefault="00000000">
      <w:pPr>
        <w:bidi/>
      </w:pPr>
      <w:r>
        <w:rPr>
          <w:rtl/>
        </w:rPr>
        <w:t>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14:paraId="789317D1" w14:textId="77777777" w:rsidR="00EB63FE" w:rsidRDefault="00000000">
      <w:pPr>
        <w:bidi/>
      </w:pPr>
      <w:r>
        <w:rPr>
          <w:rtl/>
        </w:rPr>
        <w:t>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p w14:paraId="3E05A9C2" w14:textId="77777777" w:rsidR="00EB63FE" w:rsidRDefault="00000000">
      <w:pPr>
        <w:pStyle w:val="Heading2"/>
        <w:bidi/>
      </w:pPr>
      <w:bookmarkStart w:id="4" w:name="نقطة-الفشل-البنيوي"/>
      <w:bookmarkEnd w:id="3"/>
      <w:r>
        <w:rPr>
          <w:rtl/>
        </w:rPr>
        <w:t>نقطة الفشل البنيوي</w:t>
      </w:r>
    </w:p>
    <w:p w14:paraId="7A4E42A0" w14:textId="77777777" w:rsidR="00EB63FE" w:rsidRDefault="00000000">
      <w:pPr>
        <w:bidi/>
      </w:pPr>
      <w:r>
        <w:rPr>
          <w:rtl/>
        </w:rPr>
        <w:t>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14:paraId="275EFB73" w14:textId="77777777" w:rsidR="00EB63FE" w:rsidRDefault="00000000">
      <w:pPr>
        <w:bidi/>
      </w:pPr>
      <w:r>
        <w:rPr>
          <w:rtl/>
        </w:rPr>
        <w:t>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للبيانات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14:paraId="01E1200E" w14:textId="77777777" w:rsidR="00EB63FE" w:rsidRDefault="00000000" w:rsidP="00055D17">
      <w:pPr>
        <w:pStyle w:val="SourceCode"/>
      </w:pPr>
      <w:r>
        <w:rPr>
          <w:rStyle w:val="CommentTok"/>
        </w:rPr>
        <w:t>// Target Framework: .NET 8.0</w:t>
      </w:r>
      <w:r>
        <w:br/>
      </w:r>
      <w:r>
        <w:rPr>
          <w:rStyle w:val="CommentTok"/>
        </w:rPr>
        <w:t>// Chapter: 01 | Section: 01</w:t>
      </w:r>
      <w:r>
        <w:br/>
      </w:r>
      <w:r>
        <w:rPr>
          <w:rStyle w:val="CommentTok"/>
        </w:rPr>
        <w:t>// book/chapters/chapter-01/sections/section-01.ar.md</w:t>
      </w:r>
      <w:r>
        <w:br/>
      </w:r>
      <w:r>
        <w:rPr>
          <w:rStyle w:val="CommentTok"/>
        </w:rPr>
        <w:t>// هذا الكود صحيح في عزلته. كل قرار فردي مبرر ومدافع عنه.</w:t>
      </w:r>
      <w:r>
        <w:br/>
      </w:r>
      <w:r>
        <w:rPr>
          <w:rStyle w:val="CommentTok"/>
        </w:rPr>
        <w:t>// المشكلة ليست في الكود — بل في الفجوة بين ما يفترضه</w:t>
      </w:r>
      <w:r>
        <w:br/>
      </w:r>
      <w:r>
        <w:rPr>
          <w:rStyle w:val="CommentTok"/>
        </w:rPr>
        <w:t>// الكود حول بيئته التشغيلية وما تُقدّمه تلك البيئة فعلاً.</w:t>
      </w:r>
      <w:r>
        <w:br/>
      </w:r>
      <w:r>
        <w:br/>
      </w:r>
      <w:r>
        <w:rPr>
          <w:rStyle w:val="KeywordTok"/>
        </w:rPr>
        <w:t>public</w:t>
      </w:r>
      <w:r>
        <w:rPr>
          <w:rStyle w:val="NormalTok"/>
        </w:rPr>
        <w:t xml:space="preserve"> </w:t>
      </w:r>
      <w:r>
        <w:rPr>
          <w:rStyle w:val="KeywordTok"/>
        </w:rPr>
        <w:t>sealed</w:t>
      </w:r>
      <w:r>
        <w:rPr>
          <w:rStyle w:val="NormalTok"/>
        </w:rPr>
        <w:t xml:space="preserve"> </w:t>
      </w:r>
      <w:r>
        <w:rPr>
          <w:rStyle w:val="KeywordTok"/>
        </w:rPr>
        <w:t>class</w:t>
      </w:r>
      <w:r>
        <w:rPr>
          <w:rStyle w:val="NormalTok"/>
        </w:rPr>
        <w:t xml:space="preserve"> PaymentProcessor</w:t>
      </w:r>
      <w:r>
        <w:br/>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IPaymentGateway _gateway</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IPaymentRepository _repository</w:t>
      </w:r>
      <w:r>
        <w:rPr>
          <w:rStyle w:val="OperatorTok"/>
        </w:rPr>
        <w:t>;</w:t>
      </w:r>
      <w:r>
        <w:br/>
      </w:r>
      <w:r>
        <w:rPr>
          <w:rStyle w:val="NormalTok"/>
        </w:rPr>
        <w:lastRenderedPageBreak/>
        <w:t xml:space="preserve">    </w:t>
      </w:r>
      <w:r>
        <w:rPr>
          <w:rStyle w:val="KeywordTok"/>
        </w:rPr>
        <w:t>private</w:t>
      </w:r>
      <w:r>
        <w:rPr>
          <w:rStyle w:val="NormalTok"/>
        </w:rPr>
        <w:t xml:space="preserve"> </w:t>
      </w:r>
      <w:r>
        <w:rPr>
          <w:rStyle w:val="KeywordTok"/>
        </w:rPr>
        <w:t>readonly</w:t>
      </w:r>
      <w:r>
        <w:rPr>
          <w:rStyle w:val="NormalTok"/>
        </w:rPr>
        <w:t xml:space="preserve"> IDistributedCache _cache</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_logger</w:t>
      </w:r>
      <w:r>
        <w:rPr>
          <w:rStyle w:val="OperatorTok"/>
        </w:rPr>
        <w:t>;</w:t>
      </w:r>
      <w:r>
        <w:br/>
      </w:r>
      <w:r>
        <w:br/>
      </w:r>
      <w:r>
        <w:rPr>
          <w:rStyle w:val="NormalTok"/>
        </w:rPr>
        <w:t xml:space="preserve">    </w:t>
      </w:r>
      <w:r>
        <w:rPr>
          <w:rStyle w:val="KeywordTok"/>
        </w:rPr>
        <w:t>public</w:t>
      </w:r>
      <w:r>
        <w:rPr>
          <w:rStyle w:val="NormalTok"/>
        </w:rPr>
        <w:t xml:space="preserve"> </w:t>
      </w:r>
      <w:r>
        <w:rPr>
          <w:rStyle w:val="FunctionTok"/>
        </w:rPr>
        <w:t>PaymentProcessor</w:t>
      </w:r>
      <w:r>
        <w:rPr>
          <w:rStyle w:val="OperatorTok"/>
        </w:rPr>
        <w:t>(</w:t>
      </w:r>
      <w:r>
        <w:br/>
      </w:r>
      <w:r>
        <w:rPr>
          <w:rStyle w:val="NormalTok"/>
        </w:rPr>
        <w:t xml:space="preserve">        IPaymentGateway gateway</w:t>
      </w:r>
      <w:r>
        <w:rPr>
          <w:rStyle w:val="OperatorTok"/>
        </w:rPr>
        <w:t>,</w:t>
      </w:r>
      <w:r>
        <w:br/>
      </w:r>
      <w:r>
        <w:rPr>
          <w:rStyle w:val="NormalTok"/>
        </w:rPr>
        <w:t xml:space="preserve">        IPaymentRepository repository</w:t>
      </w:r>
      <w:r>
        <w:rPr>
          <w:rStyle w:val="OperatorTok"/>
        </w:rPr>
        <w:t>,</w:t>
      </w:r>
      <w:r>
        <w:br/>
      </w:r>
      <w:r>
        <w:rPr>
          <w:rStyle w:val="NormalTok"/>
        </w:rPr>
        <w:t xml:space="preserve">        IDistributedCache cache</w:t>
      </w:r>
      <w:r>
        <w:rPr>
          <w:rStyle w:val="OperatorTok"/>
        </w:rPr>
        <w:t>,</w:t>
      </w:r>
      <w:r>
        <w:br/>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logger</w:t>
      </w:r>
      <w:r>
        <w:rPr>
          <w:rStyle w:val="OperatorTok"/>
        </w:rPr>
        <w:t>)</w:t>
      </w:r>
      <w:r>
        <w:br/>
      </w:r>
      <w:r>
        <w:rPr>
          <w:rStyle w:val="NormalTok"/>
        </w:rPr>
        <w:t xml:space="preserve">    </w:t>
      </w:r>
      <w:r>
        <w:rPr>
          <w:rStyle w:val="OperatorTok"/>
        </w:rPr>
        <w:t>{</w:t>
      </w:r>
      <w:r>
        <w:br/>
      </w:r>
      <w:r>
        <w:rPr>
          <w:rStyle w:val="NormalTok"/>
        </w:rPr>
        <w:t xml:space="preserve">        _gateway </w:t>
      </w:r>
      <w:r>
        <w:rPr>
          <w:rStyle w:val="OperatorTok"/>
        </w:rPr>
        <w:t>=</w:t>
      </w:r>
      <w:r>
        <w:rPr>
          <w:rStyle w:val="NormalTok"/>
        </w:rPr>
        <w:t xml:space="preserve"> gateway</w:t>
      </w:r>
      <w:r>
        <w:rPr>
          <w:rStyle w:val="OperatorTok"/>
        </w:rPr>
        <w:t>;</w:t>
      </w:r>
      <w:r>
        <w:br/>
      </w:r>
      <w:r>
        <w:rPr>
          <w:rStyle w:val="NormalTok"/>
        </w:rPr>
        <w:t xml:space="preserve">        _repository </w:t>
      </w:r>
      <w:r>
        <w:rPr>
          <w:rStyle w:val="OperatorTok"/>
        </w:rPr>
        <w:t>=</w:t>
      </w:r>
      <w:r>
        <w:rPr>
          <w:rStyle w:val="NormalTok"/>
        </w:rPr>
        <w:t xml:space="preserve"> repository</w:t>
      </w:r>
      <w:r>
        <w:rPr>
          <w:rStyle w:val="OperatorTok"/>
        </w:rPr>
        <w:t>;</w:t>
      </w:r>
      <w:r>
        <w:br/>
      </w:r>
      <w:r>
        <w:rPr>
          <w:rStyle w:val="NormalTok"/>
        </w:rPr>
        <w:t xml:space="preserve">        _cache </w:t>
      </w:r>
      <w:r>
        <w:rPr>
          <w:rStyle w:val="OperatorTok"/>
        </w:rPr>
        <w:t>=</w:t>
      </w:r>
      <w:r>
        <w:rPr>
          <w:rStyle w:val="NormalTok"/>
        </w:rPr>
        <w:t xml:space="preserve"> cache</w:t>
      </w:r>
      <w:r>
        <w:rPr>
          <w:rStyle w:val="OperatorTok"/>
        </w:rPr>
        <w:t>;</w:t>
      </w:r>
      <w:r>
        <w:br/>
      </w:r>
      <w:r>
        <w:rPr>
          <w:rStyle w:val="NormalTok"/>
        </w:rPr>
        <w:t xml:space="preserve">        _logger </w:t>
      </w:r>
      <w:r>
        <w:rPr>
          <w:rStyle w:val="OperatorTok"/>
        </w:rPr>
        <w:t>=</w:t>
      </w:r>
      <w:r>
        <w:rPr>
          <w:rStyle w:val="NormalTok"/>
        </w:rPr>
        <w:t xml:space="preserve"> logger</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async Task</w:t>
      </w:r>
      <w:r>
        <w:rPr>
          <w:rStyle w:val="OperatorTok"/>
        </w:rPr>
        <w:t>&lt;</w:t>
      </w:r>
      <w:r>
        <w:rPr>
          <w:rStyle w:val="NormalTok"/>
        </w:rPr>
        <w:t>PaymentResult</w:t>
      </w:r>
      <w:r>
        <w:rPr>
          <w:rStyle w:val="OperatorTok"/>
        </w:rPr>
        <w:t>&gt;</w:t>
      </w:r>
      <w:r>
        <w:rPr>
          <w:rStyle w:val="NormalTok"/>
        </w:rPr>
        <w:t xml:space="preserve"> </w:t>
      </w:r>
      <w:r>
        <w:rPr>
          <w:rStyle w:val="FunctionTok"/>
        </w:rPr>
        <w:t>ProcessAsync</w:t>
      </w:r>
      <w:r>
        <w:rPr>
          <w:rStyle w:val="OperatorTok"/>
        </w:rPr>
        <w:t>(</w:t>
      </w:r>
      <w:r>
        <w:br/>
      </w:r>
      <w:r>
        <w:rPr>
          <w:rStyle w:val="NormalTok"/>
        </w:rPr>
        <w:t xml:space="preserve">        PaymentRequest request</w:t>
      </w:r>
      <w:r>
        <w:rPr>
          <w:rStyle w:val="OperatorTok"/>
        </w:rPr>
        <w:t>,</w:t>
      </w:r>
      <w:r>
        <w:br/>
      </w:r>
      <w:r>
        <w:rPr>
          <w:rStyle w:val="NormalTok"/>
        </w:rPr>
        <w:t xml:space="preserve">        CancellationToken cancellationToken </w:t>
      </w:r>
      <w:r>
        <w:rPr>
          <w:rStyle w:val="OperatorTok"/>
        </w:rPr>
        <w:t>=</w:t>
      </w:r>
      <w:r>
        <w:rPr>
          <w:rStyle w:val="NormalTok"/>
        </w:rPr>
        <w:t xml:space="preserve"> </w:t>
      </w:r>
      <w:r>
        <w:rPr>
          <w:rStyle w:val="KeywordTok"/>
        </w:rPr>
        <w:t>default</w:t>
      </w:r>
      <w:r>
        <w:rPr>
          <w:rStyle w:val="OperatorTok"/>
        </w:rPr>
        <w:t>)</w:t>
      </w:r>
      <w:r>
        <w:br/>
      </w:r>
      <w:r>
        <w:rPr>
          <w:rStyle w:val="NormalTok"/>
        </w:rPr>
        <w:t xml:space="preserve">    </w:t>
      </w:r>
      <w:r>
        <w:rPr>
          <w:rStyle w:val="OperatorTok"/>
        </w:rPr>
        <w:t>{</w:t>
      </w:r>
      <w:r>
        <w:br/>
      </w:r>
      <w:r>
        <w:rPr>
          <w:rStyle w:val="NormalTok"/>
        </w:rPr>
        <w:t xml:space="preserve">        </w:t>
      </w:r>
      <w:r>
        <w:rPr>
          <w:rStyle w:val="CommentTok"/>
        </w:rPr>
        <w:t>// افتراض 1: فحص مفتاح تكرار التنفيذ الآمن - Idempotency Key سريع.</w:t>
      </w:r>
      <w:r>
        <w:br/>
      </w:r>
      <w:r>
        <w:rPr>
          <w:rStyle w:val="NormalTok"/>
        </w:rPr>
        <w:t xml:space="preserve">        </w:t>
      </w:r>
      <w:r>
        <w:rPr>
          <w:rStyle w:val="CommentTok"/>
        </w:rPr>
        <w:t>// الواقع: _cache هو نسخة Redis بعيدة. النشرات الباردة - Cold Starts</w:t>
      </w:r>
      <w:r>
        <w:br/>
      </w:r>
      <w:r>
        <w:rPr>
          <w:rStyle w:val="NormalTok"/>
        </w:rPr>
        <w:t xml:space="preserve">        </w:t>
      </w:r>
      <w:r>
        <w:rPr>
          <w:rStyle w:val="CommentTok"/>
        </w:rPr>
        <w:t>// تضيف 50-200ms. المستدعون الأعلى لديهم مهلة 100ms.</w:t>
      </w:r>
      <w:r>
        <w:br/>
      </w:r>
      <w:r>
        <w:rPr>
          <w:rStyle w:val="NormalTok"/>
        </w:rPr>
        <w:t xml:space="preserve">        </w:t>
      </w:r>
      <w:r>
        <w:rPr>
          <w:rStyle w:val="CommentTok"/>
        </w:rPr>
        <w:t>// يعمل بشكل مثالي حتى يفشل فجأة تحت ضغط الإنتاج.</w:t>
      </w:r>
      <w:r>
        <w:br/>
      </w:r>
      <w:r>
        <w:rPr>
          <w:rStyle w:val="NormalTok"/>
        </w:rPr>
        <w:t xml:space="preserve">        </w:t>
      </w:r>
      <w:r>
        <w:rPr>
          <w:rStyle w:val="DataTypeTok"/>
        </w:rPr>
        <w:t>var</w:t>
      </w:r>
      <w:r>
        <w:rPr>
          <w:rStyle w:val="NormalTok"/>
        </w:rPr>
        <w:t xml:space="preserve"> cachedResult </w:t>
      </w:r>
      <w:r>
        <w:rPr>
          <w:rStyle w:val="OperatorTok"/>
        </w:rPr>
        <w:t>=</w:t>
      </w:r>
      <w:r>
        <w:rPr>
          <w:rStyle w:val="NormalTok"/>
        </w:rPr>
        <w:t xml:space="preserve"> await _cache</w:t>
      </w:r>
      <w:r>
        <w:rPr>
          <w:rStyle w:val="OperatorTok"/>
        </w:rPr>
        <w:t>.</w:t>
      </w:r>
      <w:r>
        <w:rPr>
          <w:rStyle w:val="FunctionTok"/>
        </w:rPr>
        <w:t>GetStringAsync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rPr>
          <w:rStyle w:val="NormalTok"/>
        </w:rPr>
        <w:t xml:space="preserve"> cancellationToken</w:t>
      </w:r>
      <w:r>
        <w:rPr>
          <w:rStyle w:val="OperatorTok"/>
        </w:rPr>
        <w:t>);</w:t>
      </w:r>
      <w:r>
        <w:br/>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cachedResult </w:t>
      </w:r>
      <w:r>
        <w:rPr>
          <w:rStyle w:val="KeywordTok"/>
        </w:rPr>
        <w:t>is</w:t>
      </w:r>
      <w:r>
        <w:rPr>
          <w:rStyle w:val="NormalTok"/>
        </w:rPr>
        <w:t xml:space="preserve"> not </w:t>
      </w:r>
      <w:r>
        <w:rPr>
          <w:rStyle w:val="KeywordTok"/>
        </w:rPr>
        <w:t>null</w:t>
      </w:r>
      <w:r>
        <w:rPr>
          <w:rStyle w:val="OperatorTok"/>
        </w:rPr>
        <w:t>)</w:t>
      </w:r>
      <w:r>
        <w:br/>
      </w:r>
      <w:r>
        <w:rPr>
          <w:rStyle w:val="NormalTok"/>
        </w:rPr>
        <w:t xml:space="preserve">            </w:t>
      </w:r>
      <w:r>
        <w:rPr>
          <w:rStyle w:val="KeywordTok"/>
        </w:rPr>
        <w:t>return</w:t>
      </w:r>
      <w:r>
        <w:rPr>
          <w:rStyle w:val="NormalTok"/>
        </w:rPr>
        <w:t xml:space="preserve"> JsonSerializer</w:t>
      </w:r>
      <w:r>
        <w:rPr>
          <w:rStyle w:val="OperatorTok"/>
        </w:rPr>
        <w:t>.</w:t>
      </w:r>
      <w:r>
        <w:rPr>
          <w:rStyle w:val="FunctionTok"/>
        </w:rPr>
        <w:t>Deserialize</w:t>
      </w:r>
      <w:r>
        <w:rPr>
          <w:rStyle w:val="OperatorTok"/>
        </w:rPr>
        <w:t>&lt;</w:t>
      </w:r>
      <w:r>
        <w:rPr>
          <w:rStyle w:val="NormalTok"/>
        </w:rPr>
        <w:t>PaymentResult</w:t>
      </w:r>
      <w:r>
        <w:rPr>
          <w:rStyle w:val="OperatorTok"/>
        </w:rPr>
        <w:t>&gt;(</w:t>
      </w:r>
      <w:r>
        <w:rPr>
          <w:rStyle w:val="NormalTok"/>
        </w:rPr>
        <w:t>cachedResult</w:t>
      </w:r>
      <w:r>
        <w:rPr>
          <w:rStyle w:val="OperatorTok"/>
        </w:rPr>
        <w:t>)!;</w:t>
      </w:r>
      <w:r>
        <w:br/>
      </w:r>
      <w:r>
        <w:br/>
      </w:r>
      <w:r>
        <w:rPr>
          <w:rStyle w:val="NormalTok"/>
        </w:rPr>
        <w:t xml:space="preserve">        </w:t>
      </w:r>
      <w:r>
        <w:rPr>
          <w:rStyle w:val="CommentTok"/>
        </w:rPr>
        <w:t>// افتراض 2: استدعاء البوابة محدود زمنياً بشكل ضمني.</w:t>
      </w:r>
      <w:r>
        <w:br/>
      </w:r>
      <w:r>
        <w:rPr>
          <w:rStyle w:val="NormalTok"/>
        </w:rPr>
        <w:t xml:space="preserve">        </w:t>
      </w:r>
      <w:r>
        <w:rPr>
          <w:rStyle w:val="CommentTok"/>
        </w:rPr>
        <w:t>// الواقع: لا توجد مهلة HttpClient مُعرَّفة صراحةً. البوابة تتوقف</w:t>
      </w:r>
      <w:r>
        <w:br/>
      </w:r>
      <w:r>
        <w:rPr>
          <w:rStyle w:val="NormalTok"/>
        </w:rPr>
        <w:t xml:space="preserve">        </w:t>
      </w:r>
      <w:r>
        <w:rPr>
          <w:rStyle w:val="CommentTok"/>
        </w:rPr>
        <w:t>// أحياناً لأكثر من 30 ثانية خلال حوادث الخدمة السابقة - Upstream Incidents.</w:t>
      </w:r>
      <w:r>
        <w:br/>
      </w:r>
      <w:r>
        <w:rPr>
          <w:rStyle w:val="NormalTok"/>
        </w:rPr>
        <w:t xml:space="preserve">        </w:t>
      </w:r>
      <w:r>
        <w:rPr>
          <w:rStyle w:val="CommentTok"/>
        </w:rPr>
        <w:t>// يلي ذلك استنزاف Thread Pool وتوقف الخدمة بالكامل.</w:t>
      </w:r>
      <w:r>
        <w:br/>
      </w:r>
      <w:r>
        <w:rPr>
          <w:rStyle w:val="NormalTok"/>
        </w:rPr>
        <w:t xml:space="preserve">        </w:t>
      </w:r>
      <w:r>
        <w:rPr>
          <w:rStyle w:val="DataTypeTok"/>
        </w:rPr>
        <w:t>var</w:t>
      </w:r>
      <w:r>
        <w:rPr>
          <w:rStyle w:val="NormalTok"/>
        </w:rPr>
        <w:t xml:space="preserve"> gatewayResponse </w:t>
      </w:r>
      <w:r>
        <w:rPr>
          <w:rStyle w:val="OperatorTok"/>
        </w:rPr>
        <w:t>=</w:t>
      </w:r>
      <w:r>
        <w:rPr>
          <w:rStyle w:val="NormalTok"/>
        </w:rPr>
        <w:t xml:space="preserve"> await _gateway</w:t>
      </w:r>
      <w:r>
        <w:rPr>
          <w:rStyle w:val="OperatorTok"/>
        </w:rPr>
        <w:t>.</w:t>
      </w:r>
      <w:r>
        <w:rPr>
          <w:rStyle w:val="FunctionTok"/>
        </w:rPr>
        <w:t>ChargeAsync</w:t>
      </w:r>
      <w:r>
        <w:rPr>
          <w:rStyle w:val="OperatorTok"/>
        </w:rPr>
        <w:t>(</w:t>
      </w:r>
      <w:r>
        <w:br/>
      </w:r>
      <w:r>
        <w:rPr>
          <w:rStyle w:val="NormalTok"/>
        </w:rPr>
        <w:t xml:space="preserve">            request</w:t>
      </w:r>
      <w:r>
        <w:rPr>
          <w:rStyle w:val="OperatorTok"/>
        </w:rPr>
        <w:t>.</w:t>
      </w:r>
      <w:r>
        <w:rPr>
          <w:rStyle w:val="FunctionTok"/>
        </w:rPr>
        <w:t>Amount</w:t>
      </w:r>
      <w:r>
        <w:rPr>
          <w:rStyle w:val="OperatorTok"/>
        </w:rPr>
        <w:t>,</w:t>
      </w:r>
      <w:r>
        <w:br/>
      </w:r>
      <w:r>
        <w:rPr>
          <w:rStyle w:val="NormalTok"/>
        </w:rPr>
        <w:t xml:space="preserve">            request</w:t>
      </w:r>
      <w:r>
        <w:rPr>
          <w:rStyle w:val="OperatorTok"/>
        </w:rPr>
        <w:t>.</w:t>
      </w:r>
      <w:r>
        <w:rPr>
          <w:rStyle w:val="FunctionTok"/>
        </w:rPr>
        <w:t>PaymentMethod</w:t>
      </w:r>
      <w:r>
        <w:rPr>
          <w:rStyle w:val="OperatorTok"/>
        </w:rPr>
        <w:t>,</w:t>
      </w:r>
      <w:r>
        <w:br/>
      </w:r>
      <w:r>
        <w:rPr>
          <w:rStyle w:val="NormalTok"/>
        </w:rPr>
        <w:t xml:space="preserve">            cancellationToken</w:t>
      </w:r>
      <w:r>
        <w:rPr>
          <w:rStyle w:val="OperatorTok"/>
        </w:rPr>
        <w:t>);</w:t>
      </w:r>
      <w:r>
        <w:br/>
      </w:r>
      <w:r>
        <w:br/>
      </w:r>
      <w:r>
        <w:rPr>
          <w:rStyle w:val="NormalTok"/>
        </w:rPr>
        <w:t xml:space="preserve">        </w:t>
      </w:r>
      <w:r>
        <w:rPr>
          <w:rStyle w:val="DataTypeTok"/>
        </w:rPr>
        <w:t>var</w:t>
      </w:r>
      <w:r>
        <w:rPr>
          <w:rStyle w:val="NormalTok"/>
        </w:rPr>
        <w:t xml:space="preserve"> payment </w:t>
      </w:r>
      <w:r>
        <w:rPr>
          <w:rStyle w:val="OperatorTok"/>
        </w:rPr>
        <w:t>=</w:t>
      </w:r>
      <w:r>
        <w:rPr>
          <w:rStyle w:val="NormalTok"/>
        </w:rPr>
        <w:t xml:space="preserve"> Payment</w:t>
      </w:r>
      <w:r>
        <w:rPr>
          <w:rStyle w:val="OperatorTok"/>
        </w:rPr>
        <w:t>.</w:t>
      </w:r>
      <w:r>
        <w:rPr>
          <w:rStyle w:val="FunctionTok"/>
        </w:rPr>
        <w:t>Create</w:t>
      </w:r>
      <w:r>
        <w:rPr>
          <w:rStyle w:val="OperatorTok"/>
        </w:rPr>
        <w:t>(</w:t>
      </w:r>
      <w:r>
        <w:rPr>
          <w:rStyle w:val="NormalTok"/>
        </w:rPr>
        <w:t>request</w:t>
      </w:r>
      <w:r>
        <w:rPr>
          <w:rStyle w:val="OperatorTok"/>
        </w:rPr>
        <w:t>,</w:t>
      </w:r>
      <w:r>
        <w:rPr>
          <w:rStyle w:val="NormalTok"/>
        </w:rPr>
        <w:t xml:space="preserve"> gatewayResponse</w:t>
      </w:r>
      <w:r>
        <w:rPr>
          <w:rStyle w:val="OperatorTok"/>
        </w:rPr>
        <w:t>);</w:t>
      </w:r>
      <w:r>
        <w:br/>
      </w:r>
      <w:r>
        <w:br/>
      </w:r>
      <w:r>
        <w:rPr>
          <w:rStyle w:val="NormalTok"/>
        </w:rPr>
        <w:t xml:space="preserve">        </w:t>
      </w:r>
      <w:r>
        <w:rPr>
          <w:rStyle w:val="CommentTok"/>
        </w:rPr>
        <w:t>// افتراض 3: الكتابة للقاعدة والذاكرة المؤقتة ذرية بما يكفي.</w:t>
      </w:r>
      <w:r>
        <w:br/>
      </w:r>
      <w:r>
        <w:rPr>
          <w:rStyle w:val="NormalTok"/>
        </w:rPr>
        <w:t xml:space="preserve">        </w:t>
      </w:r>
      <w:r>
        <w:rPr>
          <w:rStyle w:val="CommentTok"/>
        </w:rPr>
        <w:t>// الواقع: إذا أُعيد تشغيل العملية - Process Restart بين هذين</w:t>
      </w:r>
      <w:r>
        <w:br/>
      </w:r>
      <w:r>
        <w:rPr>
          <w:rStyle w:val="NormalTok"/>
        </w:rPr>
        <w:t xml:space="preserve">        </w:t>
      </w:r>
      <w:r>
        <w:rPr>
          <w:rStyle w:val="CommentTok"/>
        </w:rPr>
        <w:t>// السطرين، يُحفظ الدفع في القاعدة دون تخزينه مؤقتاً. فحص</w:t>
      </w:r>
      <w:r>
        <w:br/>
      </w:r>
      <w:r>
        <w:rPr>
          <w:rStyle w:val="NormalTok"/>
        </w:rPr>
        <w:t xml:space="preserve">        </w:t>
      </w:r>
      <w:r>
        <w:rPr>
          <w:rStyle w:val="CommentTok"/>
        </w:rPr>
        <w:t>// تكرار التنفيذ الآمن عند إعادة المحاولة يفشل في اكتشاف العملية الموجودة.</w:t>
      </w:r>
      <w:r>
        <w:br/>
      </w:r>
      <w:r>
        <w:rPr>
          <w:rStyle w:val="NormalTok"/>
        </w:rPr>
        <w:t xml:space="preserve">        </w:t>
      </w:r>
      <w:r>
        <w:rPr>
          <w:rStyle w:val="CommentTok"/>
        </w:rPr>
        <w:t>// النتيجة: البوابة تُحاسب العميل مرتين على نفس العملية.</w:t>
      </w:r>
      <w:r>
        <w:br/>
      </w:r>
      <w:r>
        <w:rPr>
          <w:rStyle w:val="NormalTok"/>
        </w:rPr>
        <w:t xml:space="preserve">        await _repository</w:t>
      </w:r>
      <w:r>
        <w:rPr>
          <w:rStyle w:val="OperatorTok"/>
        </w:rPr>
        <w:t>.</w:t>
      </w:r>
      <w:r>
        <w:rPr>
          <w:rStyle w:val="FunctionTok"/>
        </w:rPr>
        <w:t>SaveAsync</w:t>
      </w:r>
      <w:r>
        <w:rPr>
          <w:rStyle w:val="OperatorTok"/>
        </w:rPr>
        <w:t>(</w:t>
      </w:r>
      <w:r>
        <w:rPr>
          <w:rStyle w:val="NormalTok"/>
        </w:rPr>
        <w:t>payment</w:t>
      </w:r>
      <w:r>
        <w:rPr>
          <w:rStyle w:val="OperatorTok"/>
        </w:rPr>
        <w:t>,</w:t>
      </w:r>
      <w:r>
        <w:rPr>
          <w:rStyle w:val="NormalTok"/>
        </w:rPr>
        <w:t xml:space="preserve"> cancellationToken</w:t>
      </w:r>
      <w:r>
        <w:rPr>
          <w:rStyle w:val="OperatorTok"/>
        </w:rPr>
        <w:t>);</w:t>
      </w:r>
      <w:r>
        <w:br/>
      </w:r>
      <w:r>
        <w:rPr>
          <w:rStyle w:val="NormalTok"/>
        </w:rPr>
        <w:t xml:space="preserve">        await _cache</w:t>
      </w:r>
      <w:r>
        <w:rPr>
          <w:rStyle w:val="OperatorTok"/>
        </w:rPr>
        <w:t>.</w:t>
      </w:r>
      <w:r>
        <w:rPr>
          <w:rStyle w:val="FunctionTok"/>
        </w:rPr>
        <w:t>SetStringAsync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br/>
      </w:r>
      <w:r>
        <w:rPr>
          <w:rStyle w:val="NormalTok"/>
        </w:rPr>
        <w:t xml:space="preserve">            JsonSerializer</w:t>
      </w:r>
      <w:r>
        <w:rPr>
          <w:rStyle w:val="OperatorTok"/>
        </w:rPr>
        <w:t>.</w:t>
      </w:r>
      <w:r>
        <w:rPr>
          <w:rStyle w:val="FunctionTok"/>
        </w:rPr>
        <w:t>Serialize</w:t>
      </w:r>
      <w:r>
        <w:rPr>
          <w:rStyle w:val="OperatorTok"/>
        </w:rPr>
        <w:t>(</w:t>
      </w:r>
      <w:r>
        <w:rPr>
          <w:rStyle w:val="NormalTok"/>
        </w:rPr>
        <w:t>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KeywordTok"/>
        </w:rPr>
        <w:t>new</w:t>
      </w:r>
      <w:r>
        <w:rPr>
          <w:rStyle w:val="NormalTok"/>
        </w:rPr>
        <w:t xml:space="preserve"> DistributedCacheEntryOptions</w:t>
      </w:r>
      <w:r>
        <w:br/>
      </w:r>
      <w:r>
        <w:rPr>
          <w:rStyle w:val="NormalTok"/>
        </w:rPr>
        <w:t xml:space="preserve">            </w:t>
      </w:r>
      <w:r>
        <w:rPr>
          <w:rStyle w:val="OperatorTok"/>
        </w:rPr>
        <w:t>{</w:t>
      </w:r>
      <w:r>
        <w:br/>
      </w:r>
      <w:r>
        <w:rPr>
          <w:rStyle w:val="NormalTok"/>
        </w:rPr>
        <w:t xml:space="preserve">                AbsoluteExpirationRelativeToNow </w:t>
      </w:r>
      <w:r>
        <w:rPr>
          <w:rStyle w:val="OperatorTok"/>
        </w:rPr>
        <w:t>=</w:t>
      </w:r>
      <w:r>
        <w:rPr>
          <w:rStyle w:val="NormalTok"/>
        </w:rPr>
        <w:t xml:space="preserve"> TimeSpan</w:t>
      </w:r>
      <w:r>
        <w:rPr>
          <w:rStyle w:val="OperatorTok"/>
        </w:rPr>
        <w:t>.</w:t>
      </w:r>
      <w:r>
        <w:rPr>
          <w:rStyle w:val="FunctionTok"/>
        </w:rPr>
        <w:t>FromHours</w:t>
      </w:r>
      <w:r>
        <w:rPr>
          <w:rStyle w:val="OperatorTok"/>
        </w:rPr>
        <w:t>(</w:t>
      </w:r>
      <w:r>
        <w:rPr>
          <w:rStyle w:val="DecValTok"/>
        </w:rPr>
        <w:t>24</w:t>
      </w:r>
      <w:r>
        <w:rPr>
          <w:rStyle w:val="OperatorTok"/>
        </w:rPr>
        <w:t>)</w:t>
      </w:r>
      <w:r>
        <w:br/>
      </w:r>
      <w:r>
        <w:rPr>
          <w:rStyle w:val="NormalTok"/>
        </w:rPr>
        <w:t xml:space="preserve">            </w:t>
      </w:r>
      <w:r>
        <w:rPr>
          <w:rStyle w:val="OperatorTok"/>
        </w:rPr>
        <w:t>},</w:t>
      </w:r>
      <w:r>
        <w:br/>
      </w:r>
      <w:r>
        <w:rPr>
          <w:rStyle w:val="NormalTok"/>
        </w:rPr>
        <w:t xml:space="preserve">            cancellationToken</w:t>
      </w:r>
      <w:r>
        <w:rPr>
          <w:rStyle w:val="OperatorTok"/>
        </w:rPr>
        <w:t>);</w:t>
      </w:r>
      <w:r>
        <w:br/>
      </w:r>
      <w:r>
        <w:br/>
      </w:r>
      <w:r>
        <w:rPr>
          <w:rStyle w:val="NormalTok"/>
        </w:rPr>
        <w:t xml:space="preserve">        _logger</w:t>
      </w:r>
      <w:r>
        <w:rPr>
          <w:rStyle w:val="OperatorTok"/>
        </w:rPr>
        <w:t>.</w:t>
      </w:r>
      <w:r>
        <w:rPr>
          <w:rStyle w:val="FunctionTok"/>
        </w:rPr>
        <w:t>LogInformation</w:t>
      </w:r>
      <w:r>
        <w:rPr>
          <w:rStyle w:val="OperatorTok"/>
        </w:rPr>
        <w:t>(</w:t>
      </w:r>
      <w:r>
        <w:br/>
      </w:r>
      <w:r>
        <w:rPr>
          <w:rStyle w:val="NormalTok"/>
        </w:rPr>
        <w:t xml:space="preserve">            </w:t>
      </w:r>
      <w:r>
        <w:rPr>
          <w:rStyle w:val="StringTok"/>
        </w:rPr>
        <w:t>"Payment {PaymentId} processed successfully"</w:t>
      </w:r>
      <w:r>
        <w:rPr>
          <w:rStyle w:val="OperatorTok"/>
        </w:rPr>
        <w:t>,</w:t>
      </w:r>
      <w:r>
        <w:rPr>
          <w:rStyle w:val="NormalTok"/>
        </w:rPr>
        <w:t xml:space="preserve"> payment</w:t>
      </w:r>
      <w:r>
        <w:rPr>
          <w:rStyle w:val="OperatorTok"/>
        </w:rPr>
        <w:t>.</w:t>
      </w:r>
      <w:r>
        <w:rPr>
          <w:rStyle w:val="FunctionTok"/>
        </w:rPr>
        <w:t>Id</w:t>
      </w:r>
      <w:r>
        <w:rPr>
          <w:rStyle w:val="OperatorTok"/>
        </w:rPr>
        <w:t>);</w:t>
      </w:r>
      <w:r>
        <w:br/>
      </w:r>
      <w:r>
        <w:br/>
      </w:r>
      <w:r>
        <w:rPr>
          <w:rStyle w:val="NormalTok"/>
        </w:rPr>
        <w:t xml:space="preserve">        </w:t>
      </w:r>
      <w:r>
        <w:rPr>
          <w:rStyle w:val="KeywordTok"/>
        </w:rPr>
        <w:t>return</w:t>
      </w:r>
      <w:r>
        <w:rPr>
          <w:rStyle w:val="NormalTok"/>
        </w:rPr>
        <w:t xml:space="preserve"> 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OperatorTok"/>
        </w:rPr>
        <w:t>}</w:t>
      </w:r>
      <w:r>
        <w:br/>
      </w:r>
      <w:r>
        <w:rPr>
          <w:rStyle w:val="OperatorTok"/>
        </w:rPr>
        <w:t>}</w:t>
      </w:r>
    </w:p>
    <w:p w14:paraId="3497722F" w14:textId="77777777" w:rsidR="00EB63FE" w:rsidRDefault="00000000">
      <w:pPr>
        <w:bidi/>
      </w:pPr>
      <w:r>
        <w:rPr>
          <w:rtl/>
        </w:rPr>
        <w:t xml:space="preserve">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w:t>
      </w:r>
      <w:r>
        <w:rPr>
          <w:rtl/>
        </w:rPr>
        <w:lastRenderedPageBreak/>
        <w:t>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14:paraId="3104384A" w14:textId="77777777" w:rsidR="00EB63FE" w:rsidRDefault="00000000">
      <w:pPr>
        <w:bidi/>
      </w:pPr>
      <w:r>
        <w:rPr>
          <w:rtl/>
        </w:rPr>
        <w:t>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p w14:paraId="09F036BE" w14:textId="77777777" w:rsidR="00EB63FE" w:rsidRDefault="00000000">
      <w:pPr>
        <w:pStyle w:val="Heading2"/>
        <w:bidi/>
      </w:pPr>
      <w:bookmarkStart w:id="5" w:name="القيد-الذي-يمنع-الحلول-البسيطة"/>
      <w:bookmarkEnd w:id="4"/>
      <w:r>
        <w:rPr>
          <w:rtl/>
        </w:rPr>
        <w:t>القيد الذي يمنع الحلول البسيطة</w:t>
      </w:r>
    </w:p>
    <w:p w14:paraId="5F70D1EA" w14:textId="77777777" w:rsidR="00EB63FE" w:rsidRDefault="00000000">
      <w:pPr>
        <w:bidi/>
      </w:pPr>
      <w:r>
        <w:rPr>
          <w:rtl/>
        </w:rPr>
        <w:t>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14:paraId="0631F55F" w14:textId="77777777" w:rsidR="00EB63FE" w:rsidRDefault="00000000">
      <w:pPr>
        <w:bidi/>
      </w:pPr>
      <w:r>
        <w:rPr>
          <w:rtl/>
        </w:rPr>
        <w:t>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14:paraId="459EFE8D" w14:textId="77777777" w:rsidR="00EB63FE" w:rsidRDefault="00000000">
      <w:pPr>
        <w:bidi/>
      </w:pPr>
      <w:r>
        <w:rPr>
          <w:rtl/>
        </w:rPr>
        <w:t>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p w14:paraId="7F98342C" w14:textId="77777777" w:rsidR="00EB63FE" w:rsidRDefault="00000000">
      <w:pPr>
        <w:pStyle w:val="Heading2"/>
        <w:bidi/>
      </w:pPr>
      <w:bookmarkStart w:id="6" w:name="الإدراك-المتوزع-كبنية-تحتية-هندسية"/>
      <w:bookmarkEnd w:id="5"/>
      <w:r>
        <w:rPr>
          <w:rtl/>
        </w:rPr>
        <w:t>الإدراك المتوزّع كبنية تحتية هندسية</w:t>
      </w:r>
    </w:p>
    <w:p w14:paraId="0D166ABB" w14:textId="77777777" w:rsidR="00EB63FE" w:rsidRDefault="00000000">
      <w:pPr>
        <w:bidi/>
      </w:pPr>
      <w:r>
        <w:rPr>
          <w:rtl/>
        </w:rPr>
        <w:t>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الموزع - Distributed Cognition. هذا يعني آليات منهجية يُلتقط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14:paraId="30094D65" w14:textId="77777777" w:rsidR="00EB63FE" w:rsidRDefault="00000000">
      <w:pPr>
        <w:bidi/>
      </w:pPr>
      <w:r>
        <w:rPr>
          <w:rtl/>
        </w:rPr>
        <w:t>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14:paraId="6FEADDC7" w14:textId="77777777" w:rsidR="00EB63FE" w:rsidRDefault="00000000">
      <w:pPr>
        <w:bidi/>
      </w:pPr>
      <w:r>
        <w:rPr>
          <w:rtl/>
        </w:rPr>
        <w:t>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14:paraId="204AFD14" w14:textId="77777777" w:rsidR="00EB63FE" w:rsidRDefault="00000000">
      <w:pPr>
        <w:bidi/>
      </w:pPr>
      <w:r>
        <w:rPr>
          <w:rtl/>
        </w:rPr>
        <w:t>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p w14:paraId="77DB9D63" w14:textId="77777777" w:rsidR="00EB63FE" w:rsidRDefault="00000000">
      <w:pPr>
        <w:pStyle w:val="Heading2"/>
        <w:bidi/>
      </w:pPr>
      <w:bookmarkStart w:id="7" w:name="X57540adb2b5c27dee798b11588878585b21d5cd"/>
      <w:bookmarkEnd w:id="6"/>
      <w:r>
        <w:rPr>
          <w:rtl/>
        </w:rPr>
        <w:lastRenderedPageBreak/>
        <w:t>النموذج الهندسي الجديد: التطوير المتمحور حول المعمارية</w:t>
      </w:r>
    </w:p>
    <w:p w14:paraId="3F31D6DA" w14:textId="77777777" w:rsidR="00EB63FE" w:rsidRDefault="00000000">
      <w:pPr>
        <w:bidi/>
      </w:pPr>
      <w:r>
        <w:rPr>
          <w:rtl/>
        </w:rPr>
        <w:t xml:space="preserve">ما يتغيّر جوهرياً، في مواجهة التعقيد النظامي الذي لا يمكن اختزاله، هو مركز ثقل المهمة الهندسية. النشاط الهندسي الأساسي يتحوّل من </w:t>
      </w:r>
      <w:r>
        <w:rPr>
          <w:i/>
          <w:iCs/>
          <w:rtl/>
        </w:rPr>
        <w:t>كتابة كود يُنفّذ سلوكاً محدداً</w:t>
      </w:r>
      <w:r>
        <w:rPr>
          <w:rtl/>
        </w:rPr>
        <w:t xml:space="preserve"> إلى </w:t>
      </w:r>
      <w:r>
        <w:rPr>
          <w:i/>
          <w:iCs/>
          <w:rtl/>
        </w:rPr>
        <w:t>تصميم أنظمة يمكن التنبؤ بسلوكها بثقة تحت الظروف التشغيلية الحقيقية والتحكم فيه عند الحاجة</w:t>
      </w:r>
      <w:r>
        <w:rPr>
          <w:rtl/>
        </w:rPr>
        <w:t>. الفارق بين هاتين الصياغتين ليس لفظياً — إنه يصف مستوى مختلفاً تماماً من التحليل والمسؤولية الهندسية.</w:t>
      </w:r>
    </w:p>
    <w:p w14:paraId="760C34A5" w14:textId="77777777" w:rsidR="00EB63FE" w:rsidRDefault="00000000">
      <w:pPr>
        <w:bidi/>
      </w:pPr>
      <w:r>
        <w:rPr>
          <w:rtl/>
        </w:rPr>
        <w:t>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14:paraId="4D4C9AC5" w14:textId="77777777" w:rsidR="00EB63FE" w:rsidRDefault="00000000">
      <w:pPr>
        <w:bidi/>
        <w:sectPr w:rsidR="00EB63FE" w:rsidSect="00034616">
          <w:headerReference w:type="default" r:id="rId8"/>
          <w:footerReference w:type="default" r:id="rId9"/>
          <w:headerReference w:type="first" r:id="rId10"/>
          <w:footerReference w:type="first" r:id="rId11"/>
          <w:pgSz w:w="11906" w:h="16838"/>
          <w:pgMar w:top="1134" w:right="1021" w:bottom="1418" w:left="1588" w:header="567" w:footer="680" w:gutter="0"/>
          <w:cols w:space="720"/>
          <w:titlePg/>
          <w:docGrid w:linePitch="360"/>
        </w:sectPr>
      </w:pPr>
      <w:r>
        <w:rPr>
          <w:rtl/>
        </w:rPr>
        <w:t>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bookmarkEnd w:id="0"/>
    <w:bookmarkEnd w:id="7"/>
    <w:p w14:paraId="0EDA6916" w14:textId="77777777" w:rsidR="00EB63FE" w:rsidRDefault="00000000">
      <w:pPr>
        <w:spacing w:after="0" w:line="240" w:lineRule="auto"/>
        <w:jc w:val="center"/>
      </w:pPr>
      <w:r>
        <w:rPr>
          <w:noProof/>
        </w:rPr>
        <w:lastRenderedPageBreak/>
        <w:drawing>
          <wp:inline distT="0" distB="0" distL="0" distR="0" wp14:anchorId="3AF512C8" wp14:editId="66DE5513">
            <wp:extent cx="7560000" cy="1069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cover.jpg"/>
                    <pic:cNvPicPr/>
                  </pic:nvPicPr>
                  <pic:blipFill>
                    <a:blip r:embed="rId12"/>
                    <a:stretch>
                      <a:fillRect/>
                    </a:stretch>
                  </pic:blipFill>
                  <pic:spPr>
                    <a:xfrm>
                      <a:off x="0" y="0"/>
                      <a:ext cx="7560000" cy="10692000"/>
                    </a:xfrm>
                    <a:prstGeom prst="rect">
                      <a:avLst/>
                    </a:prstGeom>
                  </pic:spPr>
                </pic:pic>
              </a:graphicData>
            </a:graphic>
          </wp:inline>
        </w:drawing>
      </w:r>
    </w:p>
    <w:sectPr w:rsidR="00EB63FE">
      <w:pgSz w:w="11906" w:h="16838"/>
      <w:pgMar w:top="0" w:right="0" w:bottom="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8FEE0" w14:textId="77777777" w:rsidR="00EA1E49" w:rsidRDefault="00EA1E49">
      <w:pPr>
        <w:spacing w:after="0" w:line="240" w:lineRule="auto"/>
      </w:pPr>
      <w:r>
        <w:separator/>
      </w:r>
    </w:p>
  </w:endnote>
  <w:endnote w:type="continuationSeparator" w:id="0">
    <w:p w14:paraId="6CD9EFBC" w14:textId="77777777" w:rsidR="00EA1E49" w:rsidRDefault="00EA1E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panose1 w:val="00000000000000000000"/>
    <w:charset w:val="00"/>
    <w:family w:val="auto"/>
    <w:pitch w:val="variable"/>
    <w:sig w:usb0="E00002FF" w:usb1="4000201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4A337" w14:textId="77777777" w:rsidR="00EB63FE" w:rsidRDefault="00000000">
    <w:pPr>
      <w:pStyle w:val="Footer"/>
      <w:spacing w:before="40"/>
      <w:jc w:val="center"/>
    </w:pPr>
    <w:r>
      <w:rPr>
        <w:rFonts w:ascii="Open Sans"/>
        <w:color w:val="78411E"/>
        <w:sz w:val="18"/>
      </w:rPr>
      <w:t>—</w:t>
    </w:r>
    <w:r>
      <w:rPr>
        <w:rFonts w:ascii="Open Sans"/>
        <w:color w:val="78411E"/>
        <w:sz w:val="18"/>
      </w:rPr>
      <w:t xml:space="preserve"> </w:t>
    </w:r>
    <w:r>
      <w:fldChar w:fldCharType="begin"/>
    </w:r>
    <w:r>
      <w:instrText xml:space="preserve"> PAGE </w:instrText>
    </w:r>
    <w:r>
      <w:fldChar w:fldCharType="separate"/>
    </w:r>
    <w:r>
      <w:rPr>
        <w:rFonts w:ascii="Open Sans"/>
        <w:color w:val="78411E"/>
        <w:sz w:val="18"/>
      </w:rPr>
      <w:t>1</w:t>
    </w:r>
    <w:r>
      <w:rPr>
        <w:rFonts w:ascii="Open Sans"/>
        <w:color w:val="78411E"/>
        <w:sz w:val="18"/>
      </w:rPr>
      <w:fldChar w:fldCharType="end"/>
    </w:r>
    <w:r>
      <w:rPr>
        <w:rFonts w:ascii="Open Sans"/>
        <w:color w:val="78411E"/>
        <w:sz w:val="18"/>
      </w:rPr>
      <w:t xml:space="preserve"> </w:t>
    </w:r>
    <w:r>
      <w:rPr>
        <w:rFonts w:ascii="Open Sans"/>
        <w:color w:val="78411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0BF4" w14:textId="77777777" w:rsidR="00EB63FE" w:rsidRDefault="00EB63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09951" w14:textId="77777777" w:rsidR="00EA1E49" w:rsidRDefault="00EA1E49">
      <w:pPr>
        <w:spacing w:after="0" w:line="240" w:lineRule="auto"/>
      </w:pPr>
      <w:r>
        <w:separator/>
      </w:r>
    </w:p>
  </w:footnote>
  <w:footnote w:type="continuationSeparator" w:id="0">
    <w:p w14:paraId="626D4327" w14:textId="77777777" w:rsidR="00EA1E49" w:rsidRDefault="00EA1E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C3C0D" w14:textId="77777777" w:rsidR="00EB63FE" w:rsidRDefault="00000000">
    <w:pPr>
      <w:pStyle w:val="Header"/>
      <w:jc w:val="right"/>
    </w:pPr>
    <w:r>
      <w:rPr>
        <w:rFonts w:ascii="Open Sans" w:hAnsi="Open Sans"/>
        <w:color w:val="8C735A"/>
        <w:sz w:val="15"/>
      </w:rPr>
      <w:t>AI-Assisted Professional Engineering with .NET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D9062" w14:textId="77777777" w:rsidR="00EB63FE" w:rsidRDefault="00EB63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9427C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76706267">
    <w:abstractNumId w:val="8"/>
  </w:num>
  <w:num w:numId="2" w16cid:durableId="1911038024">
    <w:abstractNumId w:val="6"/>
  </w:num>
  <w:num w:numId="3" w16cid:durableId="720514574">
    <w:abstractNumId w:val="5"/>
  </w:num>
  <w:num w:numId="4" w16cid:durableId="227109977">
    <w:abstractNumId w:val="4"/>
  </w:num>
  <w:num w:numId="5" w16cid:durableId="245727199">
    <w:abstractNumId w:val="7"/>
  </w:num>
  <w:num w:numId="6" w16cid:durableId="251593661">
    <w:abstractNumId w:val="3"/>
  </w:num>
  <w:num w:numId="7" w16cid:durableId="738940722">
    <w:abstractNumId w:val="2"/>
  </w:num>
  <w:num w:numId="8" w16cid:durableId="689792385">
    <w:abstractNumId w:val="1"/>
  </w:num>
  <w:num w:numId="9" w16cid:durableId="1344892918">
    <w:abstractNumId w:val="0"/>
  </w:num>
  <w:num w:numId="10" w16cid:durableId="17686480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D17"/>
    <w:rsid w:val="0006063C"/>
    <w:rsid w:val="0015074B"/>
    <w:rsid w:val="0029639D"/>
    <w:rsid w:val="00326F90"/>
    <w:rsid w:val="0097351D"/>
    <w:rsid w:val="00AA1D8D"/>
    <w:rsid w:val="00B47730"/>
    <w:rsid w:val="00CB0664"/>
    <w:rsid w:val="00EA1E49"/>
    <w:rsid w:val="00EB63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40A98D"/>
  <w15:docId w15:val="{7ABE53DB-3B33-46BA-B0D7-9FD763796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Segoe UI" w:eastAsia="Segoe UI" w:hAnsi="Segoe UI" w:cs="Segoe UI"/>
      <w:color w:val="282828"/>
      <w:sz w:val="21"/>
    </w:rPr>
  </w:style>
  <w:style w:type="paragraph" w:styleId="Heading1">
    <w:name w:val="heading 1"/>
    <w:basedOn w:val="Normal"/>
    <w:next w:val="Normal"/>
    <w:link w:val="Heading1Char"/>
    <w:uiPriority w:val="9"/>
    <w:qFormat/>
    <w:rsid w:val="00FC693F"/>
    <w:pPr>
      <w:keepNext/>
      <w:keepLines/>
      <w:spacing w:before="720" w:after="360" w:line="252" w:lineRule="auto"/>
      <w:outlineLvl w:val="0"/>
    </w:pPr>
    <w:rPr>
      <w:rFonts w:asciiTheme="majorHAnsi" w:eastAsiaTheme="majorEastAsia" w:hAnsiTheme="majorHAnsi" w:cstheme="majorBidi"/>
      <w:b/>
      <w:bCs/>
      <w:color w:val="78411E"/>
      <w:sz w:val="48"/>
      <w:szCs w:val="28"/>
    </w:rPr>
  </w:style>
  <w:style w:type="paragraph" w:styleId="Heading2">
    <w:name w:val="heading 2"/>
    <w:basedOn w:val="Normal"/>
    <w:next w:val="Normal"/>
    <w:link w:val="Heading2Char"/>
    <w:uiPriority w:val="9"/>
    <w:unhideWhenUsed/>
    <w:qFormat/>
    <w:rsid w:val="00FC693F"/>
    <w:pPr>
      <w:keepNext/>
      <w:keepLines/>
      <w:spacing w:before="480" w:after="200" w:line="264" w:lineRule="auto"/>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360" w:after="120" w:line="264" w:lineRule="auto"/>
      <w:outlineLvl w:val="2"/>
    </w:pPr>
    <w:rPr>
      <w:rFonts w:asciiTheme="majorHAnsi" w:eastAsiaTheme="majorEastAsia" w:hAnsiTheme="majorHAnsi" w:cstheme="majorBidi"/>
      <w:b/>
      <w:bCs/>
      <w:color w:val="5050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Cs/>
      <w:color w:val="969696"/>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969696"/>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969696"/>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969696"/>
      <w:sz w:val="2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6969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val="0"/>
      <w:bCs/>
      <w:i w:val="0"/>
      <w:color w:val="969696"/>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val="0"/>
      <w:bCs/>
      <w:i w:val="0"/>
      <w:color w:val="969696"/>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val="0"/>
      <w:bCs/>
      <w:i w:val="0"/>
      <w:color w:val="969696"/>
      <w:sz w:val="20"/>
    </w:rPr>
  </w:style>
  <w:style w:type="paragraph" w:styleId="Title">
    <w:name w:val="Title"/>
    <w:basedOn w:val="Normal"/>
    <w:next w:val="Normal"/>
    <w:link w:val="TitleChar"/>
    <w:uiPriority w:val="10"/>
    <w:qFormat/>
    <w:rsid w:val="00FC693F"/>
    <w:pPr>
      <w:keepNext/>
      <w:pBdr>
        <w:bottom w:val="single" w:sz="8" w:space="4" w:color="4F81BD" w:themeColor="accent1"/>
      </w:pBdr>
      <w:spacing w:before="720" w:after="360" w:line="252" w:lineRule="auto"/>
      <w:contextualSpacing/>
    </w:pPr>
    <w:rPr>
      <w:rFonts w:asciiTheme="majorHAnsi" w:eastAsiaTheme="majorEastAsia" w:hAnsiTheme="majorHAnsi" w:cstheme="majorBidi"/>
      <w:b/>
      <w:color w:val="7841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96969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b w:val="0"/>
      <w:i w:val="0"/>
      <w:iCs/>
      <w:color w:val="969696"/>
      <w:spacing w:val="15"/>
      <w:sz w:val="2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val="0"/>
      <w:bCs/>
      <w:i w:val="0"/>
      <w:iCs/>
      <w:color w:val="969696"/>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b w:val="0"/>
      <w:i w:val="0"/>
      <w:color w:val="969696"/>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b w:val="0"/>
      <w:i w:val="0"/>
      <w:iCs/>
      <w:color w:val="969696"/>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b w:val="0"/>
      <w:i w:val="0"/>
      <w:iCs/>
      <w:color w:val="969696"/>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b w:val="0"/>
      <w:i w:val="0"/>
      <w:color w:val="96969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rFonts w:ascii="Open Sans" w:eastAsia="Open Sans" w:hAnsi="Open Sans" w:cs="Open Sans"/>
      <w:bCs/>
      <w:i/>
      <w:color w:val="8C73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Open Sans" w:eastAsia="Open Sans" w:hAnsi="Open Sans" w:cs="Open Sans"/>
      <w:bCs/>
      <w:iCs/>
      <w:color w:val="969696"/>
      <w:sz w:val="20"/>
    </w:rPr>
  </w:style>
  <w:style w:type="character" w:customStyle="1" w:styleId="IntenseQuoteChar">
    <w:name w:val="Intense Quote Char"/>
    <w:basedOn w:val="DefaultParagraphFont"/>
    <w:link w:val="IntenseQuote"/>
    <w:uiPriority w:val="30"/>
    <w:rsid w:val="00FC693F"/>
    <w:rPr>
      <w:rFonts w:ascii="Open Sans" w:eastAsia="Open Sans" w:hAnsi="Open Sans" w:cs="Open Sans"/>
      <w:b w:val="0"/>
      <w:bCs/>
      <w:i w:val="0"/>
      <w:iCs/>
      <w:color w:val="969696"/>
      <w:sz w:val="2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rFonts w:ascii="Open Sans" w:eastAsia="Open Sans" w:hAnsi="Open Sans" w:cs="Open Sans"/>
      <w:b w:val="0"/>
      <w:bCs/>
      <w:i w:val="0"/>
      <w:iCs/>
      <w:color w:val="969696"/>
      <w:sz w:val="2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CaptionedFigure">
    <w:name w:val="CaptionedFigure"/>
    <w:pPr>
      <w:spacing w:after="0"/>
      <w:jc w:val="center"/>
    </w:pPr>
    <w:rPr>
      <w:rFonts w:ascii="Segoe UI" w:eastAsia="Segoe UI" w:hAnsi="Segoe UI" w:cs="Segoe UI"/>
      <w:color w:val="282828"/>
      <w:sz w:val="21"/>
    </w:rPr>
  </w:style>
  <w:style w:type="paragraph" w:customStyle="1" w:styleId="ImageCaption">
    <w:name w:val="ImageCaption"/>
    <w:pPr>
      <w:spacing w:after="160" w:line="240" w:lineRule="auto"/>
      <w:jc w:val="center"/>
    </w:pPr>
    <w:rPr>
      <w:rFonts w:ascii="Open Sans" w:eastAsia="Open Sans" w:hAnsi="Open Sans" w:cs="Open Sans"/>
      <w:b/>
      <w:color w:val="8C735A"/>
      <w:sz w:val="18"/>
    </w:rPr>
  </w:style>
  <w:style w:type="paragraph" w:customStyle="1" w:styleId="BookBody">
    <w:name w:val="BookBody"/>
    <w:pPr>
      <w:spacing w:after="60"/>
      <w:jc w:val="both"/>
    </w:pPr>
    <w:rPr>
      <w:rFonts w:ascii="Segoe UI" w:eastAsia="Segoe UI" w:hAnsi="Segoe UI" w:cs="Segoe UI"/>
      <w:color w:val="282828"/>
      <w:sz w:val="21"/>
    </w:rPr>
  </w:style>
  <w:style w:type="paragraph" w:customStyle="1" w:styleId="BookHeading1">
    <w:name w:val="BookHeading1"/>
    <w:pPr>
      <w:keepNext/>
      <w:spacing w:before="720" w:after="360" w:line="252" w:lineRule="auto"/>
    </w:pPr>
    <w:rPr>
      <w:rFonts w:ascii="Open Sans" w:eastAsia="Open Sans" w:hAnsi="Open Sans" w:cs="Open Sans"/>
      <w:b/>
      <w:color w:val="78411E"/>
      <w:sz w:val="48"/>
    </w:rPr>
  </w:style>
  <w:style w:type="paragraph" w:customStyle="1" w:styleId="BookHeading2">
    <w:name w:val="BookHeading2"/>
    <w:pPr>
      <w:keepNext/>
      <w:spacing w:before="480" w:line="264" w:lineRule="auto"/>
    </w:pPr>
    <w:rPr>
      <w:rFonts w:ascii="Open Sans" w:eastAsia="Open Sans" w:hAnsi="Open Sans" w:cs="Open Sans"/>
      <w:b/>
      <w:color w:val="282828"/>
      <w:sz w:val="32"/>
    </w:rPr>
  </w:style>
  <w:style w:type="paragraph" w:customStyle="1" w:styleId="BookHeading3">
    <w:name w:val="BookHeading3"/>
    <w:pPr>
      <w:keepNext/>
      <w:spacing w:before="360" w:after="120" w:line="264" w:lineRule="auto"/>
    </w:pPr>
    <w:rPr>
      <w:rFonts w:ascii="Open Sans" w:eastAsia="Open Sans" w:hAnsi="Open Sans" w:cs="Open Sans"/>
      <w:b/>
      <w:color w:val="505050"/>
      <w:sz w:val="26"/>
    </w:rPr>
  </w:style>
  <w:style w:type="paragraph" w:customStyle="1" w:styleId="BookCode">
    <w:name w:val="Book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BookQuote">
    <w:name w:val="BookQuote"/>
    <w:pPr>
      <w:pBdr>
        <w:left w:val="single" w:sz="10" w:space="6" w:color="78411E"/>
      </w:pBdr>
      <w:shd w:val="clear" w:color="auto" w:fill="F5F2F0"/>
      <w:spacing w:before="160" w:after="160" w:line="264" w:lineRule="auto"/>
      <w:ind w:left="680" w:right="680"/>
    </w:pPr>
    <w:rPr>
      <w:rFonts w:ascii="Segoe UI" w:eastAsia="Segoe UI" w:hAnsi="Segoe UI" w:cs="Segoe UI"/>
      <w:i/>
      <w:color w:val="505050"/>
      <w:sz w:val="21"/>
    </w:rPr>
  </w:style>
  <w:style w:type="table" w:customStyle="1" w:styleId="BookTable">
    <w:name w:val="BookTable"/>
    <w:rPr>
      <w:rFonts w:ascii="Segoe UI" w:eastAsia="Segoe UI" w:hAnsi="Segoe UI" w:cs="Segoe UI"/>
      <w:color w:val="282828"/>
      <w:sz w:val="18"/>
    </w:rPr>
    <w:tblPr>
      <w:tblBorders>
        <w:top w:val="single" w:sz="6" w:space="0" w:color="78411E"/>
        <w:bottom w:val="single" w:sz="6" w:space="0" w:color="78411E"/>
        <w:insideH w:val="single" w:sz="4" w:space="0" w:color="C8B8A8"/>
      </w:tblBorders>
      <w:tblCellMar>
        <w:top w:w="0" w:type="dxa"/>
        <w:left w:w="0" w:type="dxa"/>
        <w:bottom w:w="0" w:type="dxa"/>
        <w:right w:w="0" w:type="dxa"/>
      </w:tblCellMar>
    </w:tblPr>
  </w:style>
  <w:style w:type="paragraph" w:customStyle="1" w:styleId="BookCaption">
    <w:name w:val="BookCaption"/>
    <w:pPr>
      <w:spacing w:after="160" w:line="240" w:lineRule="auto"/>
      <w:jc w:val="center"/>
    </w:pPr>
    <w:rPr>
      <w:rFonts w:ascii="Open Sans" w:eastAsia="Open Sans" w:hAnsi="Open Sans" w:cs="Open Sans"/>
      <w:i/>
      <w:color w:val="8C735A"/>
      <w:sz w:val="18"/>
    </w:rPr>
  </w:style>
  <w:style w:type="character" w:customStyle="1" w:styleId="BookInlineCode">
    <w:name w:val="BookInlineCode"/>
    <w:rPr>
      <w:rFonts w:ascii="Consolas" w:eastAsia="Consolas" w:hAnsi="Consolas" w:cs="Consolas"/>
      <w:b w:val="0"/>
      <w:i w:val="0"/>
      <w:color w:val="C8823C"/>
      <w:sz w:val="18"/>
    </w:rPr>
  </w:style>
  <w:style w:type="paragraph" w:customStyle="1" w:styleId="BookDate">
    <w:name w:val="BookDate"/>
    <w:pPr>
      <w:spacing w:after="720"/>
      <w:jc w:val="center"/>
    </w:pPr>
    <w:rPr>
      <w:rFonts w:ascii="Segoe UI" w:eastAsia="Segoe UI" w:hAnsi="Segoe UI" w:cs="Segoe UI"/>
      <w:i/>
      <w:color w:val="969696"/>
      <w:sz w:val="21"/>
    </w:rPr>
  </w:style>
  <w:style w:type="paragraph" w:customStyle="1" w:styleId="BookImageCaption">
    <w:name w:val="BookImageCaption"/>
    <w:pPr>
      <w:spacing w:before="120" w:after="240" w:line="240" w:lineRule="auto"/>
      <w:jc w:val="center"/>
    </w:pPr>
    <w:rPr>
      <w:rFonts w:ascii="Open Sans" w:eastAsia="Open Sans" w:hAnsi="Open Sans" w:cs="Open Sans"/>
      <w:i/>
      <w:color w:val="8C735A"/>
      <w:sz w:val="18"/>
    </w:rPr>
  </w:style>
  <w:style w:type="paragraph" w:customStyle="1" w:styleId="BookTOC1">
    <w:name w:val="BookTOC1"/>
    <w:pPr>
      <w:spacing w:before="120" w:after="40" w:line="312" w:lineRule="auto"/>
    </w:pPr>
    <w:rPr>
      <w:rFonts w:ascii="Open Sans" w:eastAsia="Open Sans" w:hAnsi="Open Sans" w:cs="Open Sans"/>
      <w:b/>
      <w:color w:val="282828"/>
      <w:sz w:val="24"/>
    </w:rPr>
  </w:style>
  <w:style w:type="paragraph" w:customStyle="1" w:styleId="BookTOC2">
    <w:name w:val="BookTOC2"/>
    <w:pPr>
      <w:spacing w:before="40" w:after="40" w:line="288" w:lineRule="auto"/>
      <w:ind w:left="850"/>
    </w:pPr>
    <w:rPr>
      <w:rFonts w:ascii="Open Sans" w:eastAsia="Open Sans" w:hAnsi="Open Sans" w:cs="Open Sans"/>
      <w:color w:val="282828"/>
    </w:rPr>
  </w:style>
  <w:style w:type="paragraph" w:customStyle="1" w:styleId="BookTOC3">
    <w:name w:val="BookTOC3"/>
    <w:pPr>
      <w:spacing w:before="20" w:after="20" w:line="288" w:lineRule="auto"/>
      <w:ind w:left="1701"/>
    </w:pPr>
    <w:rPr>
      <w:rFonts w:ascii="Open Sans" w:eastAsia="Open Sans" w:hAnsi="Open Sans" w:cs="Open Sans"/>
      <w:color w:val="505050"/>
      <w:sz w:val="20"/>
    </w:rPr>
  </w:style>
  <w:style w:type="character" w:customStyle="1" w:styleId="KeywordTok">
    <w:name w:val="KeywordTok"/>
    <w:rPr>
      <w:b/>
      <w:color w:val="F92672"/>
    </w:rPr>
  </w:style>
  <w:style w:type="character" w:customStyle="1" w:styleId="DataTypeTok">
    <w:name w:val="DataTypeTok"/>
    <w:rPr>
      <w:color w:val="A6E22E"/>
    </w:rPr>
  </w:style>
  <w:style w:type="character" w:customStyle="1" w:styleId="DecValTok">
    <w:name w:val="DecValTok"/>
    <w:rPr>
      <w:color w:val="AE81FF"/>
    </w:rPr>
  </w:style>
  <w:style w:type="character" w:customStyle="1" w:styleId="BaseNTok">
    <w:name w:val="BaseNTok"/>
    <w:rPr>
      <w:color w:val="AE81FF"/>
    </w:rPr>
  </w:style>
  <w:style w:type="character" w:customStyle="1" w:styleId="FloatTok">
    <w:name w:val="FloatTok"/>
    <w:rPr>
      <w:color w:val="AE81FF"/>
    </w:rPr>
  </w:style>
  <w:style w:type="character" w:customStyle="1" w:styleId="ConstantTok">
    <w:name w:val="ConstantTok"/>
    <w:rPr>
      <w:b/>
      <w:color w:val="AE81FF"/>
    </w:rPr>
  </w:style>
  <w:style w:type="character" w:customStyle="1" w:styleId="CharTok">
    <w:name w:val="CharTok"/>
    <w:rPr>
      <w:color w:val="E6DB74"/>
    </w:rPr>
  </w:style>
  <w:style w:type="character" w:customStyle="1" w:styleId="SpecialCharTok">
    <w:name w:val="SpecialCharTok"/>
    <w:rPr>
      <w:color w:val="E6DB74"/>
    </w:rPr>
  </w:style>
  <w:style w:type="character" w:customStyle="1" w:styleId="StringTok">
    <w:name w:val="StringTok"/>
    <w:rPr>
      <w:color w:val="E6DB74"/>
    </w:rPr>
  </w:style>
  <w:style w:type="character" w:customStyle="1" w:styleId="VerbatimStringTok">
    <w:name w:val="VerbatimStringTok"/>
    <w:rPr>
      <w:color w:val="E6DB74"/>
    </w:rPr>
  </w:style>
  <w:style w:type="character" w:customStyle="1" w:styleId="SpecialStringTok">
    <w:name w:val="SpecialStringTok"/>
    <w:rPr>
      <w:color w:val="E6DB74"/>
    </w:rPr>
  </w:style>
  <w:style w:type="character" w:customStyle="1" w:styleId="ImportTok">
    <w:name w:val="ImportTok"/>
    <w:rPr>
      <w:color w:val="A6E22E"/>
    </w:rPr>
  </w:style>
  <w:style w:type="character" w:customStyle="1" w:styleId="CommentTok">
    <w:name w:val="CommentTok"/>
    <w:rPr>
      <w:color w:val="88846F"/>
    </w:rPr>
  </w:style>
  <w:style w:type="character" w:customStyle="1" w:styleId="DocumentationTok">
    <w:name w:val="DocumentationTok"/>
    <w:rPr>
      <w:color w:val="88846F"/>
    </w:rPr>
  </w:style>
  <w:style w:type="character" w:customStyle="1" w:styleId="AnnotationTok">
    <w:name w:val="AnnotationTok"/>
    <w:rPr>
      <w:color w:val="88846F"/>
    </w:rPr>
  </w:style>
  <w:style w:type="character" w:customStyle="1" w:styleId="CommentVarTok">
    <w:name w:val="CommentVarTok"/>
    <w:rPr>
      <w:color w:val="88846F"/>
    </w:rPr>
  </w:style>
  <w:style w:type="character" w:customStyle="1" w:styleId="OtherTok">
    <w:name w:val="OtherTok"/>
    <w:rPr>
      <w:color w:val="A6E22E"/>
    </w:rPr>
  </w:style>
  <w:style w:type="character" w:customStyle="1" w:styleId="FunctionTok">
    <w:name w:val="FunctionTok"/>
    <w:rPr>
      <w:color w:val="A6E22E"/>
    </w:rPr>
  </w:style>
  <w:style w:type="character" w:customStyle="1" w:styleId="VariableTok">
    <w:name w:val="VariableTok"/>
    <w:rPr>
      <w:color w:val="FD971F"/>
    </w:rPr>
  </w:style>
  <w:style w:type="character" w:customStyle="1" w:styleId="ControlFlowTok">
    <w:name w:val="ControlFlowTok"/>
    <w:rPr>
      <w:b/>
      <w:color w:val="F92672"/>
    </w:rPr>
  </w:style>
  <w:style w:type="character" w:customStyle="1" w:styleId="OperatorTok">
    <w:name w:val="OperatorTok"/>
    <w:rPr>
      <w:color w:val="F92672"/>
    </w:rPr>
  </w:style>
  <w:style w:type="character" w:customStyle="1" w:styleId="BuiltInTok">
    <w:name w:val="BuiltInTok"/>
    <w:rPr>
      <w:color w:val="A6E22E"/>
    </w:rPr>
  </w:style>
  <w:style w:type="character" w:customStyle="1" w:styleId="ExtensionTok">
    <w:name w:val="ExtensionTok"/>
    <w:rPr>
      <w:b/>
      <w:color w:val="A6E22E"/>
    </w:rPr>
  </w:style>
  <w:style w:type="character" w:customStyle="1" w:styleId="PreprocessorTok">
    <w:name w:val="PreprocessorTok"/>
    <w:rPr>
      <w:color w:val="FD971F"/>
    </w:rPr>
  </w:style>
  <w:style w:type="character" w:customStyle="1" w:styleId="AttributeTok">
    <w:name w:val="AttributeTok"/>
    <w:rPr>
      <w:color w:val="FD971F"/>
    </w:rPr>
  </w:style>
  <w:style w:type="character" w:customStyle="1" w:styleId="RegionMarkerTok">
    <w:name w:val="RegionMarkerTok"/>
    <w:rPr>
      <w:color w:val="75715E"/>
    </w:rPr>
  </w:style>
  <w:style w:type="character" w:customStyle="1" w:styleId="InformationTok">
    <w:name w:val="InformationTok"/>
    <w:rPr>
      <w:color w:val="88846F"/>
    </w:rPr>
  </w:style>
  <w:style w:type="character" w:customStyle="1" w:styleId="WarningTok">
    <w:name w:val="WarningTok"/>
    <w:rPr>
      <w:color w:val="F44747"/>
    </w:rPr>
  </w:style>
  <w:style w:type="character" w:customStyle="1" w:styleId="AlertTok">
    <w:name w:val="AlertTok"/>
    <w:rPr>
      <w:b/>
      <w:color w:val="F44747"/>
    </w:rPr>
  </w:style>
  <w:style w:type="character" w:customStyle="1" w:styleId="ErrorTok">
    <w:name w:val="ErrorTok"/>
    <w:rPr>
      <w:color w:val="F44747"/>
    </w:rPr>
  </w:style>
  <w:style w:type="character" w:customStyle="1" w:styleId="NormalTok">
    <w:name w:val="NormalTok"/>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2386</Words>
  <Characters>13603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cp:lastModifiedBy>Tarek Najem</cp:lastModifiedBy>
  <cp:revision>2</cp:revision>
  <dcterms:created xsi:type="dcterms:W3CDTF">2026-08-16T22:29:00Z</dcterms:created>
  <dcterms:modified xsi:type="dcterms:W3CDTF">2026-08-16T22:34:00Z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