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40" w:lineRule="auto"/>
        <w:jc w:val="center"/>
        <w:sectPr>
          <w:pgSz w:w="11906" w:h="16838"/>
          <w:pgMar w:top="0" w:right="0" w:bottom="0" w:left="0" w:header="0" w:footer="0" w:gutter="0"/>
        </w:sectPr>
      </w:pPr>
      <w:r>
        <w:drawing>
          <wp:inline>
            <wp:extent cx="7560000" cy="1069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cover.jp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AI-Assisted Professional Engineering with .NET</w:t>
      </w:r>
    </w:p>
    <w:bookmarkStart w:id="34" w:name="X8c5c013da3023af46962d9c916b02e9d19b2f21"/>
    <w:p>
      <w:pPr>
        <w:pStyle w:val="Heading1"/>
      </w:pPr>
      <w:r>
        <w:t xml:space="preserve">Section 03 — The Limits of Statistical Reasoning</w:t>
      </w:r>
    </w:p>
    <w:bookmarkStart w:id="21" w:name="two-kinds-of-getting-the-right-answer"/>
    <w:p>
      <w:pPr>
        <w:pStyle w:val="Heading2"/>
      </w:pPr>
      <w:r>
        <w:t xml:space="preserve">Two Kinds of</w:t>
      </w:r>
      <w:r>
        <w:t xml:space="preserve"> </w:t>
      </w:r>
      <w:r>
        <w:t xml:space="preserve">“Getting the Right Answer”</w:t>
      </w:r>
    </w:p>
    <w:p>
      <w:pPr>
        <w:pStyle w:val="FirstParagraph"/>
      </w:pPr>
      <w:r>
        <w:t xml:space="preserve">Logical inference from well-defined premises fails detectably. If you ask a system that implements formal rules of inference to derive a conclusion from inconsistent premises, it either produces a logical contradiction — an error you can verify — or it reports that no valid inference path exists. The failure mode is explicit: the system tells you it cannot answer, or it produces something you can check against the premises. Statistical reasoning fails silently. A model that has no statistically grounded pattern for the specific case asked of it does not say</w:t>
      </w:r>
      <w:r>
        <w:t xml:space="preserve"> </w:t>
      </w:r>
      <w:r>
        <w:t xml:space="preserve">“I have no pattern for this”</w:t>
      </w:r>
      <w:r>
        <w:t xml:space="preserve"> </w:t>
      </w:r>
      <w:r>
        <w:t xml:space="preserve">— it says the next-most-probable token given everything in the context, which might be the opening of a confident-sounding answer derived from a similar but not identical pattern, and that answer may be wrong in ways that are invisible from the surface of the text.</w:t>
      </w:r>
    </w:p>
    <w:p>
      <w:pPr>
        <w:pStyle w:val="BodyText"/>
      </w:pPr>
      <w:r>
        <w:t xml:space="preserve">Section 02 established that LLMs produce genuinely useful output because next-token prediction over a large, dense corpus of technical text learns the statistical structure of technical reasoning itself. For well-represented patterns, this works reliably enough that it is genuinely valuable. But this section is about where the approach breaks — and more importantly,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it breaks, because the way statistical reasoning fails is qualitatively different from the way logical reasoning fails, and that difference has direct engineering consequences.</w:t>
      </w:r>
    </w:p>
    <w:p>
      <w:pPr>
        <w:pStyle w:val="BodyText"/>
      </w:pPr>
      <w:r>
        <w:t xml:space="preserve">The engineering consequence of this asymmetry is significant: tools built</w:t>
      </w:r>
      <w:r>
        <w:t xml:space="preserve"> </w:t>
      </w:r>
      <w:r>
        <w:t xml:space="preserve">on formal logic fail at known boundaries, which can be tested and guarded.</w:t>
      </w:r>
      <w:r>
        <w:t xml:space="preserve"> </w:t>
      </w:r>
      <w:r>
        <w:t xml:space="preserve">Tools built on statistical reasoning fail at unknown and unevenly</w:t>
      </w:r>
      <w:r>
        <w:t xml:space="preserve"> </w:t>
      </w:r>
      <w:r>
        <w:t xml:space="preserve">distributed boundaries, which must be understood structurally before the</w:t>
      </w:r>
      <w:r>
        <w:t xml:space="preserve"> </w:t>
      </w:r>
      <w:r>
        <w:t xml:space="preserve">tool can be used safely in production.</w:t>
      </w:r>
    </w:p>
    <w:bookmarkEnd w:id="21"/>
    <w:bookmarkStart w:id="25" w:name="Xd04541b01792046e0ed32ac1dedad4e62aceeb2"/>
    <w:p>
      <w:pPr>
        <w:pStyle w:val="Heading2"/>
      </w:pPr>
      <w:r>
        <w:t xml:space="preserve">What Breaks at the Edge of the Distribution</w:t>
      </w:r>
    </w:p>
    <w:p>
      <w:pPr>
        <w:pStyle w:val="FirstParagraph"/>
      </w:pPr>
      <w:r>
        <w:t xml:space="preserve">Section 02’s</w:t>
      </w:r>
      <w:r>
        <w:t xml:space="preserve"> </w:t>
      </w:r>
      <w:r>
        <w:t xml:space="preserve">“map of training distribution density”</w:t>
      </w:r>
      <w:r>
        <w:t xml:space="preserve"> </w:t>
      </w:r>
      <w:r>
        <w:t xml:space="preserve">framing provides the</w:t>
      </w:r>
      <w:r>
        <w:t xml:space="preserve"> </w:t>
      </w:r>
      <w:r>
        <w:t xml:space="preserve">vocabulary for this: at the dense centre of the distribution — common .NET</w:t>
      </w:r>
      <w:r>
        <w:t xml:space="preserve"> </w:t>
      </w:r>
      <w:r>
        <w:t xml:space="preserve">patterns, widely-documented APIs, well-rehearsed explanatory sequences —</w:t>
      </w:r>
      <w:r>
        <w:t xml:space="preserve"> </w:t>
      </w:r>
      <w:r>
        <w:t xml:space="preserve">statistical reasoning produces output that is reliable because it is</w:t>
      </w:r>
      <w:r>
        <w:t xml:space="preserve"> </w:t>
      </w:r>
      <w:r>
        <w:t xml:space="preserve">reproducing a well-established answer rather than constructing a novel one.</w:t>
      </w:r>
      <w:r>
        <w:t xml:space="preserve"> </w:t>
      </w:r>
      <w:r>
        <w:t xml:space="preserve">The model’s output, in these cases, is essentially a sophisticated retrieval</w:t>
      </w:r>
      <w:r>
        <w:t xml:space="preserve"> </w:t>
      </w:r>
      <w:r>
        <w:t xml:space="preserve">and re-expression of patterns that have been reinforced so many times that</w:t>
      </w:r>
      <w:r>
        <w:t xml:space="preserve"> </w:t>
      </w:r>
      <w:r>
        <w:t xml:space="preserve">the most probable token at each step leads reliably to a valid answer.</w:t>
      </w:r>
    </w:p>
    <w:p>
      <w:pPr>
        <w:pStyle w:val="BodyText"/>
      </w:pPr>
      <w:r>
        <w:t xml:space="preserve">But consider what</w:t>
      </w:r>
      <w:r>
        <w:t xml:space="preserve"> </w:t>
      </w:r>
      <w:r>
        <w:t xml:space="preserve">“the most probable next token”</w:t>
      </w:r>
      <w:r>
        <w:t xml:space="preserve"> </w:t>
      </w:r>
      <w:r>
        <w:t xml:space="preserve">means for a prompt that</w:t>
      </w:r>
      <w:r>
        <w:t xml:space="preserve"> </w:t>
      </w:r>
      <w:r>
        <w:t xml:space="preserve">combines several moderately-common concepts in a combination that is</w:t>
      </w:r>
      <w:r>
        <w:t xml:space="preserve"> </w:t>
      </w:r>
      <w:r>
        <w:t xml:space="preserve">uncommon — say, asking about the correct locking semantics for updating a</w:t>
      </w:r>
      <w:r>
        <w:t xml:space="preserve"> </w:t>
      </w:r>
      <w:r>
        <w:t xml:space="preserve">shared</w:t>
      </w:r>
      <w:r>
        <w:t xml:space="preserve"> </w:t>
      </w:r>
      <w:r>
        <w:rPr>
          <w:rStyle w:val="VerbatimChar"/>
        </w:rPr>
        <w:t xml:space="preserve">Channel&lt;T&gt;</w:t>
      </w:r>
      <w:r>
        <w:t xml:space="preserve"> </w:t>
      </w:r>
      <w:r>
        <w:t xml:space="preserve">from both CPU-bound and I/O-bound paths inside a</w:t>
      </w:r>
      <w:r>
        <w:t xml:space="preserve"> </w:t>
      </w:r>
      <w:r>
        <w:rPr>
          <w:rStyle w:val="VerbatimChar"/>
        </w:rPr>
        <w:t xml:space="preserve">BackgroundService</w:t>
      </w:r>
      <w:r>
        <w:t xml:space="preserve"> </w:t>
      </w:r>
      <w:r>
        <w:t xml:space="preserve">while respecting a</w:t>
      </w:r>
      <w:r>
        <w:t xml:space="preserve"> </w:t>
      </w:r>
      <w:r>
        <w:rPr>
          <w:rStyle w:val="VerbatimChar"/>
        </w:rPr>
        <w:t xml:space="preserve">CancellationToken</w:t>
      </w:r>
      <w:r>
        <w:t xml:space="preserve"> </w:t>
      </w:r>
      <w:r>
        <w:t xml:space="preserve">being observed</w:t>
      </w:r>
      <w:r>
        <w:t xml:space="preserve"> </w:t>
      </w:r>
      <w:r>
        <w:t xml:space="preserve">from a graceful shutdown handler. Each of these concepts individually is</w:t>
      </w:r>
      <w:r>
        <w:t xml:space="preserve"> </w:t>
      </w:r>
      <w:r>
        <w:t xml:space="preserve">well-represented. The</w:t>
      </w:r>
      <w:r>
        <w:t xml:space="preserve"> </w:t>
      </w:r>
      <w:r>
        <w:rPr>
          <w:i/>
          <w:iCs/>
        </w:rPr>
        <w:t xml:space="preserve">specific combination</w:t>
      </w:r>
      <w:r>
        <w:t xml:space="preserve">, with its precise interaction</w:t>
      </w:r>
      <w:r>
        <w:t xml:space="preserve"> </w:t>
      </w:r>
      <w:r>
        <w:t xml:space="preserve">across the async scheduling model and the</w:t>
      </w:r>
      <w:r>
        <w:t xml:space="preserve"> </w:t>
      </w:r>
      <w:r>
        <w:rPr>
          <w:rStyle w:val="VerbatimChar"/>
        </w:rPr>
        <w:t xml:space="preserve">Channel&lt;T&gt;</w:t>
      </w:r>
      <w:r>
        <w:t xml:space="preserve"> </w:t>
      </w:r>
      <w:r>
        <w:t xml:space="preserve">producer/consumer</w:t>
      </w:r>
      <w:r>
        <w:t xml:space="preserve"> </w:t>
      </w:r>
      <w:r>
        <w:t xml:space="preserve">protocol, may not be — or may be represented inconsistently, with different</w:t>
      </w:r>
      <w:r>
        <w:t xml:space="preserve"> </w:t>
      </w:r>
      <w:r>
        <w:t xml:space="preserve">sources making subtly different assumptions that the model has not</w:t>
      </w:r>
      <w:r>
        <w:t xml:space="preserve"> </w:t>
      </w:r>
      <w:r>
        <w:t xml:space="preserve">necessarily resolved into a consistent view.</w:t>
      </w:r>
    </w:p>
    <w:p>
      <w:pPr>
        <w:pStyle w:val="BodyText"/>
      </w:pPr>
      <w:r>
        <w:t xml:space="preserve">In that case, the model does not have access to a</w:t>
      </w:r>
      <w:r>
        <w:t xml:space="preserve"> </w:t>
      </w:r>
      <w:r>
        <w:t xml:space="preserve">“correct answer”</w:t>
      </w:r>
      <w:r>
        <w:t xml:space="preserve"> </w:t>
      </w:r>
      <w:r>
        <w:t xml:space="preserve">in the</w:t>
      </w:r>
      <w:r>
        <w:t xml:space="preserve"> </w:t>
      </w:r>
      <w:r>
        <w:t xml:space="preserve">way Section 02 described for dense regions. It has access to the most</w:t>
      </w:r>
      <w:r>
        <w:t xml:space="preserve"> </w:t>
      </w:r>
      <w:r>
        <w:t xml:space="preserve">probable token given what precedes it, drawn from representations learned</w:t>
      </w:r>
      <w:r>
        <w:t xml:space="preserve"> </w:t>
      </w:r>
      <w:r>
        <w:t xml:space="preserve">from many related but non-identical discussions. And those representations,</w:t>
      </w:r>
      <w:r>
        <w:t xml:space="preserve"> </w:t>
      </w:r>
      <w:r>
        <w:t xml:space="preserve">combined, produce something that</w:t>
      </w:r>
      <w:r>
        <w:t xml:space="preserve"> </w:t>
      </w:r>
      <w:r>
        <w:rPr>
          <w:i/>
          <w:iCs/>
        </w:rPr>
        <w:t xml:space="preserve">looks like</w:t>
      </w:r>
      <w:r>
        <w:t xml:space="preserve"> </w:t>
      </w:r>
      <w:r>
        <w:t xml:space="preserve">the answer to the specific</w:t>
      </w:r>
      <w:r>
        <w:t xml:space="preserve"> </w:t>
      </w:r>
      <w:r>
        <w:t xml:space="preserve">question because it uses the right vocabulary, the right code structure, and</w:t>
      </w:r>
      <w:r>
        <w:t xml:space="preserve"> </w:t>
      </w:r>
      <w:r>
        <w:t xml:space="preserve">the right explanatory tone — but is constructed from adjacent patterns</w:t>
      </w:r>
      <w:r>
        <w:t xml:space="preserve"> </w:t>
      </w:r>
      <w:r>
        <w:t xml:space="preserve">rather than from a reliable encoding of the specific case.</w:t>
      </w:r>
    </w:p>
    <w:p>
      <w:pPr>
        <w:pStyle w:val="CaptionedFigure"/>
      </w:pPr>
      <w:r>
        <w:drawing>
          <wp:inline>
            <wp:extent cx="5892800" cy="4103914"/>
            <wp:effectExtent b="0" l="0" r="0" t="0"/>
            <wp:docPr descr="Diagram: dg-52052ef01d10" title="" id="23" name="Picture"/>
            <a:graphic>
              <a:graphicData uri="http://schemas.openxmlformats.org/drawingml/2006/picture">
                <pic:pic>
                  <pic:nvPicPr>
                    <pic:cNvPr descr="exports\diagrams\mermaid\dg-52052ef01d10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4103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Diagram: dg-52052ef01d10</w:t>
      </w:r>
    </w:p>
    <w:p>
      <w:pPr>
        <w:pStyle w:val="BodyText"/>
      </w:pPr>
      <w:r>
        <w:t xml:space="preserve">The diagram above captures the structural difference between the two</w:t>
      </w:r>
      <w:r>
        <w:t xml:space="preserve"> </w:t>
      </w:r>
      <w:r>
        <w:t xml:space="preserve">paths. For an engineer making an architectural decision about a .NET system</w:t>
      </w:r>
      <w:r>
        <w:t xml:space="preserve"> </w:t>
      </w:r>
      <w:r>
        <w:t xml:space="preserve">under real constraints — specific thread pool configuration, actual</w:t>
      </w:r>
      <w:r>
        <w:t xml:space="preserve"> </w:t>
      </w:r>
      <w:r>
        <w:t xml:space="preserve">cancellation behaviour of specific async primitives, documented edge cases</w:t>
      </w:r>
      <w:r>
        <w:t xml:space="preserve"> </w:t>
      </w:r>
      <w:r>
        <w:t xml:space="preserve">of EF Core change tracking under concurrency — the distinction matters</w:t>
      </w:r>
      <w:r>
        <w:t xml:space="preserve"> </w:t>
      </w:r>
      <w:r>
        <w:t xml:space="preserve">enormously. Logical inference from premises produces an answer that is</w:t>
      </w:r>
      <w:r>
        <w:t xml:space="preserve"> </w:t>
      </w:r>
      <w:r>
        <w:t xml:space="preserve">either correct or demonstrably wrong. Statistical inference produces an</w:t>
      </w:r>
      <w:r>
        <w:t xml:space="preserve"> </w:t>
      </w:r>
      <w:r>
        <w:t xml:space="preserve">answer that</w:t>
      </w:r>
      <w:r>
        <w:t xml:space="preserve"> </w:t>
      </w:r>
      <w:r>
        <w:rPr>
          <w:i/>
          <w:iCs/>
        </w:rPr>
        <w:t xml:space="preserve">looks</w:t>
      </w:r>
      <w:r>
        <w:t xml:space="preserve"> </w:t>
      </w:r>
      <w:r>
        <w:t xml:space="preserve">correct and might be, but has no internal mechanism for</w:t>
      </w:r>
      <w:r>
        <w:t xml:space="preserve"> </w:t>
      </w:r>
      <w:r>
        <w:t xml:space="preserve">knowing whether it is or not, because the correctness of the output is a</w:t>
      </w:r>
      <w:r>
        <w:t xml:space="preserve"> </w:t>
      </w:r>
      <w:r>
        <w:t xml:space="preserve">property of the training distribution, not of any formal derivation</w:t>
      </w:r>
      <w:r>
        <w:t xml:space="preserve"> </w:t>
      </w:r>
      <w:r>
        <w:t xml:space="preserve">happening at inference time.</w:t>
      </w:r>
    </w:p>
    <w:bookmarkEnd w:id="25"/>
    <w:bookmarkStart w:id="26" w:name="X8cac15f1fdcc908db7d5a9a706f50ee48f621ba"/>
    <w:p>
      <w:pPr>
        <w:pStyle w:val="Heading2"/>
      </w:pPr>
      <w:r>
        <w:t xml:space="preserve">Multi-Step Reasoning and Why It Does Not Change the Picture</w:t>
      </w:r>
    </w:p>
    <w:p>
      <w:pPr>
        <w:pStyle w:val="FirstParagraph"/>
      </w:pPr>
      <w:r>
        <w:t xml:space="preserve">A common response to this framing is to point to chain-of-thought</w:t>
      </w:r>
      <w:r>
        <w:t xml:space="preserve"> </w:t>
      </w:r>
      <w:r>
        <w:t xml:space="preserve">prompting: if a model is asked not just for an answer but to</w:t>
      </w:r>
      <w:r>
        <w:t xml:space="preserve"> </w:t>
      </w:r>
      <w:r>
        <w:t xml:space="preserve">“think step by</w:t>
      </w:r>
      <w:r>
        <w:t xml:space="preserve"> </w:t>
      </w:r>
      <w:r>
        <w:t xml:space="preserve">step,”</w:t>
      </w:r>
      <w:r>
        <w:t xml:space="preserve"> </w:t>
      </w:r>
      <w:r>
        <w:t xml:space="preserve">its output quality on multi-step problems measurably improves. This</w:t>
      </w:r>
      <w:r>
        <w:t xml:space="preserve"> </w:t>
      </w:r>
      <w:r>
        <w:t xml:space="preserve">is true, and it deserves a direct explanation, because it is sometimes</w:t>
      </w:r>
      <w:r>
        <w:t xml:space="preserve"> </w:t>
      </w:r>
      <w:r>
        <w:t xml:space="preserve">interpreted as evidence that the model gains logical inference capacity when</w:t>
      </w:r>
      <w:r>
        <w:t xml:space="preserve"> </w:t>
      </w:r>
      <w:r>
        <w:t xml:space="preserve">prompted this way — which would change the picture significantly.</w:t>
      </w:r>
    </w:p>
    <w:p>
      <w:pPr>
        <w:pStyle w:val="BodyText"/>
      </w:pPr>
      <w:r>
        <w:t xml:space="preserve">It does not. Chain-of-thought prompting works for a different reason: by</w:t>
      </w:r>
      <w:r>
        <w:t xml:space="preserve"> </w:t>
      </w:r>
      <w:r>
        <w:t xml:space="preserve">producing intermediate tokens that correspond to the structure of a</w:t>
      </w:r>
      <w:r>
        <w:t xml:space="preserve"> </w:t>
      </w:r>
      <w:r>
        <w:t xml:space="preserve">reasoning trace before producing the final answer, the model conditions</w:t>
      </w:r>
      <w:r>
        <w:t xml:space="preserve"> </w:t>
      </w:r>
      <w:r>
        <w:t xml:space="preserve">each subsequent token on a much richer context that includes those</w:t>
      </w:r>
      <w:r>
        <w:t xml:space="preserve"> </w:t>
      </w:r>
      <w:r>
        <w:t xml:space="preserve">intermediate steps. And because the model has seen an enormous number of</w:t>
      </w:r>
      <w:r>
        <w:t xml:space="preserve"> </w:t>
      </w:r>
      <w:r>
        <w:t xml:space="preserve">examples of correct reasoning traces in its training data — worked problems</w:t>
      </w:r>
      <w:r>
        <w:t xml:space="preserve"> </w:t>
      </w:r>
      <w:r>
        <w:t xml:space="preserve">in documentation, commented code walkthroughs, structured technical</w:t>
      </w:r>
      <w:r>
        <w:t xml:space="preserve"> </w:t>
      </w:r>
      <w:r>
        <w:t xml:space="preserve">explanations — the probability distribution over subsequent tokens given a</w:t>
      </w:r>
      <w:r>
        <w:t xml:space="preserve"> </w:t>
      </w:r>
      <w:r>
        <w:t xml:space="preserve">partial reasoning trace is much better calibrated than the probability</w:t>
      </w:r>
      <w:r>
        <w:t xml:space="preserve"> </w:t>
      </w:r>
      <w:r>
        <w:t xml:space="preserve">distribution over the final answer given the raw question alone. The</w:t>
      </w:r>
      <w:r>
        <w:t xml:space="preserve"> </w:t>
      </w:r>
      <w:r>
        <w:t xml:space="preserve">intermediate tokens are not a plan that the model executes; they are tokens</w:t>
      </w:r>
      <w:r>
        <w:t xml:space="preserve"> </w:t>
      </w:r>
      <w:r>
        <w:t xml:space="preserve">that influence the subsequent probability distributions in a way that</w:t>
      </w:r>
      <w:r>
        <w:t xml:space="preserve"> </w:t>
      </w:r>
      <w:r>
        <w:t xml:space="preserve">correlates with correctness.</w:t>
      </w:r>
    </w:p>
    <w:p>
      <w:pPr>
        <w:pStyle w:val="BodyText"/>
      </w:pPr>
      <w:r>
        <w:t xml:space="preserve">This means chain-of-thought helps precisely in the regions where statistical</w:t>
      </w:r>
      <w:r>
        <w:t xml:space="preserve"> </w:t>
      </w:r>
      <w:r>
        <w:t xml:space="preserve">reasoning already has some traction — where enough correct reasoning traces</w:t>
      </w:r>
      <w:r>
        <w:t xml:space="preserve"> </w:t>
      </w:r>
      <w:r>
        <w:t xml:space="preserve">exist in training data for the model to have learned the structure of a good</w:t>
      </w:r>
      <w:r>
        <w:t xml:space="preserve"> </w:t>
      </w:r>
      <w:r>
        <w:t xml:space="preserve">derivation. At the actual edges of the distribution — novel system-specific</w:t>
      </w:r>
      <w:r>
        <w:t xml:space="preserve"> </w:t>
      </w:r>
      <w:r>
        <w:t xml:space="preserve">constraints, recently-released APIs, combinations of features with no</w:t>
      </w:r>
      <w:r>
        <w:t xml:space="preserve"> </w:t>
      </w:r>
      <w:r>
        <w:t xml:space="preserve">equivalent in training data — chain-of-thought produces a fluent, structured</w:t>
      </w:r>
      <w:r>
        <w:t xml:space="preserve"> </w:t>
      </w:r>
      <w:r>
        <w:t xml:space="preserve">reasoning trace that can still be wrong, because the intermediate tokens are</w:t>
      </w:r>
      <w:r>
        <w:t xml:space="preserve"> </w:t>
      </w:r>
      <w:r>
        <w:t xml:space="preserve">themselves the most-probable continuations given the context, not logical</w:t>
      </w:r>
      <w:r>
        <w:t xml:space="preserve"> </w:t>
      </w:r>
      <w:r>
        <w:t xml:space="preserve">derivations from verified premises.</w:t>
      </w:r>
    </w:p>
    <w:p>
      <w:pPr>
        <w:pStyle w:val="SourceCode"/>
      </w:pPr>
      <w:r>
        <w:rPr>
          <w:rStyle w:val="CommentTok"/>
        </w:rPr>
        <w:t xml:space="preserve">// Target Framework: .NET 8.0</w:t>
      </w:r>
      <w:r>
        <w:br/>
      </w:r>
      <w:r>
        <w:rPr>
          <w:rStyle w:val="CommentTok"/>
        </w:rPr>
        <w:t xml:space="preserve">// Chapter: 02 | Section: 03</w:t>
      </w:r>
      <w:r>
        <w:br/>
      </w:r>
      <w:r>
        <w:rPr>
          <w:rStyle w:val="CommentTok"/>
        </w:rPr>
        <w:t xml:space="preserve">// book/chapters/chapter-02/sections/section-03.en.md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A concurrency pattern that is STATISTICALLY plausible — consistent</w:t>
      </w:r>
      <w:r>
        <w:br/>
      </w:r>
      <w:r>
        <w:rPr>
          <w:rStyle w:val="CommentTok"/>
        </w:rPr>
        <w:t xml:space="preserve">// with the vocabulary and structure of many correct .NET concurrent</w:t>
      </w:r>
      <w:r>
        <w:br/>
      </w:r>
      <w:r>
        <w:rPr>
          <w:rStyle w:val="CommentTok"/>
        </w:rPr>
        <w:t xml:space="preserve">// implementations — but has a subtle flaw specific to how .NET's</w:t>
      </w:r>
      <w:r>
        <w:br/>
      </w:r>
      <w:r>
        <w:rPr>
          <w:rStyle w:val="CommentTok"/>
        </w:rPr>
        <w:t xml:space="preserve">// thread pool interacts with this particular pattern under load.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An LLM trained on common patterns may generate this confidently.</w:t>
      </w:r>
      <w:r>
        <w:br/>
      </w:r>
      <w:r>
        <w:rPr>
          <w:rStyle w:val="CommentTok"/>
        </w:rPr>
        <w:t xml:space="preserve">// A .NET engineer applying formal knowledge of the runtime detects it.</w:t>
      </w:r>
      <w:r>
        <w:br/>
      </w:r>
      <w:r>
        <w:rPr>
          <w:rStyle w:val="CommentTok"/>
        </w:rPr>
        <w:t xml:space="preserve">// This is the gap between statistical and logical reasoning.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Channels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</w:t>
      </w:r>
      <w:r>
        <w:rPr>
          <w:rStyle w:val="AlertTok"/>
        </w:rPr>
        <w:t xml:space="preserve">CAUTION</w:t>
      </w:r>
      <w:r>
        <w:rPr>
          <w:rStyle w:val="CommentTok"/>
        </w:rPr>
        <w:t xml:space="preserve">: this implementation has a subtle issue that statistical</w:t>
      </w:r>
      <w:r>
        <w:br/>
      </w:r>
      <w:r>
        <w:rPr>
          <w:rStyle w:val="CommentTok"/>
        </w:rPr>
        <w:t xml:space="preserve">/// reasoning (LLM-generated code) may not catch.</w:t>
      </w:r>
      <w:r>
        <w:br/>
      </w:r>
      <w:r>
        <w:rPr>
          <w:rStyle w:val="CommentTok"/>
        </w:rPr>
        <w:t xml:space="preserve">/// See analysis in comments below.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WorkCoordinator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IDisposable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Single channel, written from multiple call sites.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_channel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CreateBounded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WorkItem</w:t>
      </w:r>
      <w:r>
        <w:rPr>
          <w:rStyle w:val="OperatorTok"/>
        </w:rPr>
        <w:t xml:space="preserve">&gt;(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BoundedChannelOptions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SingleWriter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Multiple producers</w:t>
      </w:r>
      <w:r>
        <w:br/>
      </w:r>
      <w:r>
        <w:rPr>
          <w:rStyle w:val="NormalTok"/>
        </w:rPr>
        <w:t xml:space="preserve">            SingleReader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Single consumer worker</w:t>
      </w:r>
      <w:r>
        <w:br/>
      </w:r>
      <w:r>
        <w:rPr>
          <w:rStyle w:val="NormalTok"/>
        </w:rPr>
        <w:t xml:space="preserve">            FullMode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BoundedChannelFullMode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CancellationTokenSource _shutdown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Task _worker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WorkCoordinator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_worker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ConsumeAsync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_shutdown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ValueTask </w:t>
      </w:r>
      <w:r>
        <w:rPr>
          <w:rStyle w:val="FunctionTok"/>
        </w:rPr>
        <w:t xml:space="preserve">EnqueueAsync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WorkItem 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STATISTICAL PATTERN — appears in many correct examples: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await the write with the external cancellation token.</w:t>
      </w:r>
      <w:r>
        <w:br/>
      </w:r>
      <w:r>
        <w:rPr>
          <w:rStyle w:val="NormalTok"/>
        </w:rPr>
        <w:t xml:space="preserve">        await _channel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ConsumeAsync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ProcessAsync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FLAW (logical reasoning reveals; statistical may miss):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When Dispose() is called, _shutdown is cancelled.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ConsumeAsync will exit via OperationCanceledException from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_channel.Reader.ReadAllAsync — but _channel.Writer is NOT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completed. Any caller blocked inside WriteAsync with a linked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token will hang until its external token cancels, rather than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receiving a ChannelClosedException or clean completion signal.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correct pattern: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public void Dispose()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 _channel.Writer.TryComplete();   // ← this line, before cancel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 _shutdown.Cancel();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 _worker.GetAwaiter().GetResult();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distinction — complete the writer so readers see a definite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end-of-stream before cancelling pending writers — requires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knowledge of Channel&lt;T&gt;'s specific completion semantics, not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general async patterns. A model that learned "cancel the token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 shut down" from many BackgroundService examples may produce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incomplete version confidently, because the token-based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shutdown shape is statistically dominant.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ProcessAsync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WorkItem 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CompletedTask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domain-specific processing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TryComplete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correct — explain in architecture review</w:t>
      </w:r>
      <w:r>
        <w:br/>
      </w:r>
      <w:r>
        <w:rPr>
          <w:rStyle w:val="NormalTok"/>
        </w:rPr>
        <w:t xml:space="preserve">        _shutdown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_worker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_shutdown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WorkItem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code above represents a situation that arises regularly when using AI</w:t>
      </w:r>
      <w:r>
        <w:t xml:space="preserve"> </w:t>
      </w:r>
      <w:r>
        <w:t xml:space="preserve">assistance for .NET engineering: the generated code is structurally</w:t>
      </w:r>
      <w:r>
        <w:t xml:space="preserve"> </w:t>
      </w:r>
      <w:r>
        <w:t xml:space="preserve">idiomatic, matches the vocabulary and shape of correct concurrent .NET code,</w:t>
      </w:r>
      <w:r>
        <w:t xml:space="preserve"> </w:t>
      </w:r>
      <w:r>
        <w:t xml:space="preserve">and passes a straightforward code review. The flaw is detectable only if the</w:t>
      </w:r>
      <w:r>
        <w:t xml:space="preserve"> </w:t>
      </w:r>
      <w:r>
        <w:t xml:space="preserve">reviewer applies specific knowledge of</w:t>
      </w:r>
      <w:r>
        <w:t xml:space="preserve"> </w:t>
      </w:r>
      <w:r>
        <w:rPr>
          <w:rStyle w:val="VerbatimChar"/>
        </w:rPr>
        <w:t xml:space="preserve">Channel&lt;T&gt;</w:t>
      </w:r>
      <w:r>
        <w:t xml:space="preserve"> </w:t>
      </w:r>
      <w:r>
        <w:t xml:space="preserve">completion semantics and</w:t>
      </w:r>
      <w:r>
        <w:t xml:space="preserve"> </w:t>
      </w:r>
      <w:r>
        <w:t xml:space="preserve">their interaction with</w:t>
      </w:r>
      <w:r>
        <w:t xml:space="preserve"> </w:t>
      </w:r>
      <w:r>
        <w:rPr>
          <w:rStyle w:val="VerbatimChar"/>
        </w:rPr>
        <w:t xml:space="preserve">CancellationToken</w:t>
      </w:r>
      <w:r>
        <w:t xml:space="preserve"> </w:t>
      </w:r>
      <w:r>
        <w:t xml:space="preserve">propagation — knowledge that</w:t>
      </w:r>
      <w:r>
        <w:t xml:space="preserve"> </w:t>
      </w:r>
      <w:r>
        <w:t xml:space="preserve">requires understanding of how these specific primitives behave, not just the</w:t>
      </w:r>
      <w:r>
        <w:t xml:space="preserve"> </w:t>
      </w:r>
      <w:r>
        <w:t xml:space="preserve">general pattern of background processing in .NET. A model generating from</w:t>
      </w:r>
      <w:r>
        <w:t xml:space="preserve"> </w:t>
      </w:r>
      <w:r>
        <w:t xml:space="preserve">statistical patterns will produce the shape of the correct answer but may</w:t>
      </w:r>
      <w:r>
        <w:t xml:space="preserve"> </w:t>
      </w:r>
      <w:r>
        <w:t xml:space="preserve">not carry the specific completion-call detail that correct completion</w:t>
      </w:r>
      <w:r>
        <w:t xml:space="preserve"> </w:t>
      </w:r>
      <w:r>
        <w:t xml:space="preserve">semantics require, because the specific detail was not consistently the</w:t>
      </w:r>
      <w:r>
        <w:t xml:space="preserve"> </w:t>
      </w:r>
      <w:r>
        <w:t xml:space="preserve">dominant pattern in training examples of</w:t>
      </w:r>
      <w:r>
        <w:t xml:space="preserve"> </w:t>
      </w:r>
      <w:r>
        <w:t xml:space="preserve">“how to shut down a background</w:t>
      </w:r>
      <w:r>
        <w:t xml:space="preserve"> </w:t>
      </w:r>
      <w:r>
        <w:t xml:space="preserve">worker.”</w:t>
      </w:r>
    </w:p>
    <w:bookmarkEnd w:id="26"/>
    <w:bookmarkStart w:id="27" w:name="X1239b0ac890f45d306c3dfd874ef2c9a1023943"/>
    <w:p>
      <w:pPr>
        <w:pStyle w:val="Heading2"/>
      </w:pPr>
      <w:r>
        <w:t xml:space="preserve">Why Specific Runtime Knowledge Resists Statistical Capture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Channel&lt;T&gt;</w:t>
      </w:r>
      <w:r>
        <w:t xml:space="preserve"> </w:t>
      </w:r>
      <w:r>
        <w:t xml:space="preserve">example in this section illustrates a broader structural</w:t>
      </w:r>
      <w:r>
        <w:t xml:space="preserve"> </w:t>
      </w:r>
      <w:r>
        <w:t xml:space="preserve">limitation. .NET’s runtime behaviour includes properties that are</w:t>
      </w:r>
      <w:r>
        <w:t xml:space="preserve"> </w:t>
      </w:r>
      <w:r>
        <w:rPr>
          <w:i/>
          <w:iCs/>
        </w:rPr>
        <w:t xml:space="preserve">specific</w:t>
      </w:r>
      <w:r>
        <w:rPr>
          <w:i/>
          <w:iCs/>
        </w:rPr>
        <w:t xml:space="preserve"> </w:t>
      </w:r>
      <w:r>
        <w:rPr>
          <w:i/>
          <w:iCs/>
        </w:rPr>
        <w:t xml:space="preserve">to the runtime’s implementation</w:t>
      </w:r>
      <w:r>
        <w:t xml:space="preserve"> </w:t>
      </w:r>
      <w:r>
        <w:t xml:space="preserve">and are not derivable from the API surface</w:t>
      </w:r>
      <w:r>
        <w:t xml:space="preserve"> </w:t>
      </w:r>
      <w:r>
        <w:t xml:space="preserve">alone: how the garbage collector handles generations under allocation</w:t>
      </w:r>
      <w:r>
        <w:t xml:space="preserve"> </w:t>
      </w:r>
      <w:r>
        <w:t xml:space="preserve">pressure, how the JIT recompiles hot methods, how the thread pool manages</w:t>
      </w:r>
      <w:r>
        <w:t xml:space="preserve"> </w:t>
      </w:r>
      <w:r>
        <w:t xml:space="preserve">task injection rates under sustained load, how</w:t>
      </w:r>
      <w:r>
        <w:t xml:space="preserve"> </w:t>
      </w:r>
      <w:r>
        <w:rPr>
          <w:rStyle w:val="VerbatimChar"/>
        </w:rPr>
        <w:t xml:space="preserve">ValueTask</w:t>
      </w:r>
      <w:r>
        <w:t xml:space="preserve"> </w:t>
      </w:r>
      <w:r>
        <w:t xml:space="preserve">pooling interacts</w:t>
      </w:r>
      <w:r>
        <w:t xml:space="preserve"> </w:t>
      </w:r>
      <w:r>
        <w:t xml:space="preserve">with specific continuation patterns, and how</w:t>
      </w:r>
      <w:r>
        <w:t xml:space="preserve"> </w:t>
      </w:r>
      <w:r>
        <w:rPr>
          <w:rStyle w:val="VerbatimChar"/>
        </w:rPr>
        <w:t xml:space="preserve">Channel&lt;T&gt;</w:t>
      </w:r>
      <w:r>
        <w:t xml:space="preserve">’s internal</w:t>
      </w:r>
      <w:r>
        <w:t xml:space="preserve"> </w:t>
      </w:r>
      <w:r>
        <w:t xml:space="preserve">semantics differ between bounded and unbounded configurations in terms of</w:t>
      </w:r>
      <w:r>
        <w:t xml:space="preserve"> </w:t>
      </w:r>
      <w:r>
        <w:t xml:space="preserve">memory pressure and back-pressure propagation. These properties are</w:t>
      </w:r>
      <w:r>
        <w:t xml:space="preserve"> </w:t>
      </w:r>
      <w:r>
        <w:t xml:space="preserve">documented — sometimes thoroughly, sometimes sparsely — but the documentation</w:t>
      </w:r>
      <w:r>
        <w:t xml:space="preserve"> </w:t>
      </w:r>
      <w:r>
        <w:t xml:space="preserve">itself is sparse relative to the volume of general async/await and</w:t>
      </w:r>
      <w:r>
        <w:t xml:space="preserve"> </w:t>
      </w:r>
      <w:r>
        <w:t xml:space="preserve">dependency injection material in the training corpus. A model reproducing</w:t>
      </w:r>
      <w:r>
        <w:t xml:space="preserve"> </w:t>
      </w:r>
      <w:r>
        <w:t xml:space="preserve">statistical patterns from general async documentation will not, by default,</w:t>
      </w:r>
      <w:r>
        <w:t xml:space="preserve"> </w:t>
      </w:r>
      <w:r>
        <w:t xml:space="preserve">reliably produce the specific detail about</w:t>
      </w:r>
      <w:r>
        <w:t xml:space="preserve"> </w:t>
      </w:r>
      <w:r>
        <w:rPr>
          <w:rStyle w:val="VerbatimChar"/>
        </w:rPr>
        <w:t xml:space="preserve">Channel&lt;T&gt;</w:t>
      </w:r>
      <w:r>
        <w:t xml:space="preserve"> </w:t>
      </w:r>
      <w:r>
        <w:t xml:space="preserve">completion semantics</w:t>
      </w:r>
      <w:r>
        <w:t xml:space="preserve"> </w:t>
      </w:r>
      <w:r>
        <w:t xml:space="preserve">that determines whether a graceful shutdown works correctly, because that</w:t>
      </w:r>
      <w:r>
        <w:t xml:space="preserve"> </w:t>
      </w:r>
      <w:r>
        <w:t xml:space="preserve">detail was not the dominant statistical shape of</w:t>
      </w:r>
      <w:r>
        <w:t xml:space="preserve"> </w:t>
      </w:r>
      <w:r>
        <w:t xml:space="preserve">“how to shut down a</w:t>
      </w:r>
      <w:r>
        <w:t xml:space="preserve"> </w:t>
      </w:r>
      <w:r>
        <w:t xml:space="preserve">background service”</w:t>
      </w:r>
      <w:r>
        <w:t xml:space="preserve"> </w:t>
      </w:r>
      <w:r>
        <w:t xml:space="preserve">in the training data. The dominant shape was</w:t>
      </w:r>
      <w:r>
        <w:t xml:space="preserve"> </w:t>
      </w:r>
      <w:r>
        <w:t xml:space="preserve">“cancel the</w:t>
      </w:r>
      <w:r>
        <w:t xml:space="preserve"> </w:t>
      </w:r>
      <w:r>
        <w:t xml:space="preserve">token, await the task”</w:t>
      </w:r>
      <w:r>
        <w:t xml:space="preserve"> </w:t>
      </w:r>
      <w:r>
        <w:t xml:space="preserve">— a pattern that is correct for the majority of</w:t>
      </w:r>
      <w:r>
        <w:t xml:space="preserve"> </w:t>
      </w:r>
      <w:r>
        <w:rPr>
          <w:rStyle w:val="VerbatimChar"/>
        </w:rPr>
        <w:t xml:space="preserve">BackgroundService</w:t>
      </w:r>
      <w:r>
        <w:t xml:space="preserve"> </w:t>
      </w:r>
      <w:r>
        <w:t xml:space="preserve">implementations but subtly incomplete for this specific</w:t>
      </w:r>
      <w:r>
        <w:t xml:space="preserve"> </w:t>
      </w:r>
      <w:r>
        <w:t xml:space="preserve">case. This is the structural reason why reasoning about a specific system’s</w:t>
      </w:r>
      <w:r>
        <w:t xml:space="preserve"> </w:t>
      </w:r>
      <w:r>
        <w:t xml:space="preserve">behaviour under specific runtime conditions remains an engineering task that</w:t>
      </w:r>
      <w:r>
        <w:t xml:space="preserve"> </w:t>
      </w:r>
      <w:r>
        <w:t xml:space="preserve">statistical pattern-matching supports but cannot replace: the correctness</w:t>
      </w:r>
      <w:r>
        <w:t xml:space="preserve"> </w:t>
      </w:r>
      <w:r>
        <w:t xml:space="preserve">depends on the precise interaction of implementation-specific properties, not</w:t>
      </w:r>
      <w:r>
        <w:t xml:space="preserve"> </w:t>
      </w:r>
      <w:r>
        <w:t xml:space="preserve">on the general shape of a category of solutions.</w:t>
      </w:r>
    </w:p>
    <w:bookmarkEnd w:id="27"/>
    <w:bookmarkStart w:id="28" w:name="Xbdf39525f63ed09aad7e76857c062f9f0348417"/>
    <w:p>
      <w:pPr>
        <w:pStyle w:val="Heading2"/>
      </w:pPr>
      <w:r>
        <w:t xml:space="preserve">The Engineering Implication: Reasoning Tasks vs Pattern Tasks</w:t>
      </w:r>
    </w:p>
    <w:p>
      <w:pPr>
        <w:pStyle w:val="FirstParagraph"/>
      </w:pPr>
      <w:r>
        <w:t xml:space="preserve">The distinction between pattern tasks and reasoning tasks has a further</w:t>
      </w:r>
      <w:r>
        <w:t xml:space="preserve"> </w:t>
      </w:r>
      <w:r>
        <w:t xml:space="preserve">implication for .NET engineers: it determines what kind of review is</w:t>
      </w:r>
      <w:r>
        <w:t xml:space="preserve"> </w:t>
      </w:r>
      <w:r>
        <w:t xml:space="preserve">effective. A pattern task — say, generating an implementation of the</w:t>
      </w:r>
      <w:r>
        <w:t xml:space="preserve"> </w:t>
      </w:r>
      <w:r>
        <w:t xml:space="preserve">decorator pattern for an</w:t>
      </w:r>
      <w:r>
        <w:t xml:space="preserve"> </w:t>
      </w:r>
      <w:r>
        <w:rPr>
          <w:rStyle w:val="VerbatimChar"/>
        </w:rPr>
        <w:t xml:space="preserve">IEmailSender</w:t>
      </w:r>
      <w:r>
        <w:t xml:space="preserve"> </w:t>
      </w:r>
      <w:r>
        <w:t xml:space="preserve">service — benefits from a quick</w:t>
      </w:r>
      <w:r>
        <w:t xml:space="preserve"> </w:t>
      </w:r>
      <w:r>
        <w:t xml:space="preserve">structural review: does it compile, does it conform to the expected</w:t>
      </w:r>
      <w:r>
        <w:t xml:space="preserve"> </w:t>
      </w:r>
      <w:r>
        <w:t xml:space="preserve">interface contract, are there any obvious anti-patterns like synchronous</w:t>
      </w:r>
      <w:r>
        <w:t xml:space="preserve"> </w:t>
      </w:r>
      <w:r>
        <w:t xml:space="preserve">blocking in an async pipeline? A reasoning task — say, evaluating whether a</w:t>
      </w:r>
      <w:r>
        <w:t xml:space="preserve"> </w:t>
      </w:r>
      <w:r>
        <w:t xml:space="preserve">proposed distributed caching strategy maintains consistency guarantees under</w:t>
      </w:r>
      <w:r>
        <w:t xml:space="preserve"> </w:t>
      </w:r>
      <w:r>
        <w:t xml:space="preserve">the specific partition and failure model of the production infrastructure —</w:t>
      </w:r>
      <w:r>
        <w:t xml:space="preserve"> </w:t>
      </w:r>
      <w:r>
        <w:t xml:space="preserve">requires the reviewer to hold multiple system-specific constraints in mind</w:t>
      </w:r>
      <w:r>
        <w:t xml:space="preserve"> </w:t>
      </w:r>
      <w:r>
        <w:t xml:space="preserve">simultaneously and evaluate whether the proposed solution satisfies all of</w:t>
      </w:r>
      <w:r>
        <w:t xml:space="preserve"> </w:t>
      </w:r>
      <w:r>
        <w:t xml:space="preserve">them under the specific operational conditions. The statistical mechanism</w:t>
      </w:r>
      <w:r>
        <w:t xml:space="preserve"> </w:t>
      </w:r>
      <w:r>
        <w:t xml:space="preserve">that produces the first kind of output does not have the tools to produce</w:t>
      </w:r>
      <w:r>
        <w:t xml:space="preserve"> </w:t>
      </w:r>
      <w:r>
        <w:t xml:space="preserve">the second kind with reliability, because the second kind depends on</w:t>
      </w:r>
      <w:r>
        <w:t xml:space="preserve"> </w:t>
      </w:r>
      <w:r>
        <w:t xml:space="preserve">constraints that are specific to one system and not represented in the</w:t>
      </w:r>
      <w:r>
        <w:t xml:space="preserve"> </w:t>
      </w:r>
      <w:r>
        <w:t xml:space="preserve">training corpus. Recognising which category a given piece of AI output falls</w:t>
      </w:r>
      <w:r>
        <w:t xml:space="preserve"> </w:t>
      </w:r>
      <w:r>
        <w:t xml:space="preserve">into is the first step in determining how much independent verification it</w:t>
      </w:r>
      <w:r>
        <w:t xml:space="preserve"> </w:t>
      </w:r>
      <w:r>
        <w:t xml:space="preserve">requires — and that recognition is itself an engineering judgment that cannot</w:t>
      </w:r>
      <w:r>
        <w:t xml:space="preserve"> </w:t>
      </w:r>
      <w:r>
        <w:t xml:space="preserve">be delegated to the model.</w:t>
      </w:r>
    </w:p>
    <w:bookmarkEnd w:id="28"/>
    <w:bookmarkStart w:id="29" w:name="X173104de5d6eb3ef2bd0ec84179b3f8f998c3fd"/>
    <w:p>
      <w:pPr>
        <w:pStyle w:val="Heading2"/>
      </w:pPr>
      <w:r>
        <w:t xml:space="preserve">Identifying the Boundary in Practice: A Diagnostic Framework</w:t>
      </w:r>
    </w:p>
    <w:p>
      <w:pPr>
        <w:pStyle w:val="FirstParagraph"/>
      </w:pPr>
      <w:r>
        <w:t xml:space="preserve">The pattern-versus-reasoning distinction described above is conceptually</w:t>
      </w:r>
      <w:r>
        <w:t xml:space="preserve"> </w:t>
      </w:r>
      <w:r>
        <w:t xml:space="preserve">clear but practically ambiguous at the boundary — and the boundary is</w:t>
      </w:r>
      <w:r>
        <w:t xml:space="preserve"> </w:t>
      </w:r>
      <w:r>
        <w:t xml:space="preserve">exactly where engineers need the distinction most. A concrete diagnostic</w:t>
      </w:r>
      <w:r>
        <w:t xml:space="preserve"> </w:t>
      </w:r>
      <w:r>
        <w:t xml:space="preserve">framework helps resolve the ambiguity. For any given AI-generated output</w:t>
      </w:r>
      <w:r>
        <w:t xml:space="preserve"> </w:t>
      </w:r>
      <w:r>
        <w:t xml:space="preserve">that an engineer must evaluate, three questions determine its category:</w:t>
      </w:r>
    </w:p>
    <w:p>
      <w:pPr>
        <w:pStyle w:val="BodyText"/>
      </w:pPr>
      <w:r>
        <w:rPr>
          <w:b/>
          <w:bCs/>
        </w:rPr>
        <w:t xml:space="preserve">Question 1: Does the correct answer depend on facts specific to this</w:t>
      </w:r>
      <w:r>
        <w:rPr>
          <w:b/>
          <w:bCs/>
        </w:rPr>
        <w:t xml:space="preserve"> </w:t>
      </w:r>
      <w:r>
        <w:rPr>
          <w:b/>
          <w:bCs/>
        </w:rPr>
        <w:t xml:space="preserve">system?</w:t>
      </w:r>
      <w:r>
        <w:t xml:space="preserve"> </w:t>
      </w:r>
      <w:r>
        <w:t xml:space="preserve">If the answer is yes — the behaviour depends on the particular</w:t>
      </w:r>
      <w:r>
        <w:t xml:space="preserve"> </w:t>
      </w:r>
      <w:r>
        <w:t xml:space="preserve">thread pool configuration of this service, the specific EF Core provider</w:t>
      </w:r>
      <w:r>
        <w:t xml:space="preserve"> </w:t>
      </w:r>
      <w:r>
        <w:t xml:space="preserve">and its concurrency model, the exact sequence of events during this</w:t>
      </w:r>
      <w:r>
        <w:t xml:space="preserve"> </w:t>
      </w:r>
      <w:r>
        <w:t xml:space="preserve">application’s shutdown path — the task is a reasoning task regardless of</w:t>
      </w:r>
      <w:r>
        <w:t xml:space="preserve"> </w:t>
      </w:r>
      <w:r>
        <w:t xml:space="preserve">how familiar the individual concepts are. The model may have strong</w:t>
      </w:r>
      <w:r>
        <w:t xml:space="preserve"> </w:t>
      </w:r>
      <w:r>
        <w:t xml:space="preserve">statistical grounding for each concept individually, but the</w:t>
      </w:r>
      <w:r>
        <w:t xml:space="preserve"> </w:t>
      </w:r>
      <w:r>
        <w:rPr>
          <w:i/>
          <w:iCs/>
        </w:rPr>
        <w:t xml:space="preserve">interaction</w:t>
      </w:r>
      <w:r>
        <w:t xml:space="preserve"> </w:t>
      </w:r>
      <w:r>
        <w:t xml:space="preserve">of those concepts under this system’s specific conditions is not</w:t>
      </w:r>
      <w:r>
        <w:t xml:space="preserve"> </w:t>
      </w:r>
      <w:r>
        <w:t xml:space="preserve">represented in any training corpus. An example: generating an</w:t>
      </w:r>
      <w:r>
        <w:t xml:space="preserve"> </w:t>
      </w:r>
      <w:r>
        <w:rPr>
          <w:rStyle w:val="VerbatimChar"/>
        </w:rPr>
        <w:t xml:space="preserve">IHostedService</w:t>
      </w:r>
      <w:r>
        <w:t xml:space="preserve"> </w:t>
      </w:r>
      <w:r>
        <w:t xml:space="preserve">implementation that manages a background polling loop is a</w:t>
      </w:r>
      <w:r>
        <w:t xml:space="preserve"> </w:t>
      </w:r>
      <w:r>
        <w:t xml:space="preserve">pattern task; evaluating whether</w:t>
      </w:r>
      <w:r>
        <w:t xml:space="preserve"> </w:t>
      </w:r>
      <w:r>
        <w:rPr>
          <w:i/>
          <w:iCs/>
        </w:rPr>
        <w:t xml:space="preserve">this particular</w:t>
      </w:r>
      <w:r>
        <w:t xml:space="preserve"> </w:t>
      </w:r>
      <w:r>
        <w:t xml:space="preserve">polling loop will cause</w:t>
      </w:r>
      <w:r>
        <w:t xml:space="preserve"> </w:t>
      </w:r>
      <w:r>
        <w:t xml:space="preserve">thread-pool starvation under</w:t>
      </w:r>
      <w:r>
        <w:t xml:space="preserve"> </w:t>
      </w:r>
      <w:r>
        <w:rPr>
          <w:i/>
          <w:iCs/>
        </w:rPr>
        <w:t xml:space="preserve">this particular</w:t>
      </w:r>
      <w:r>
        <w:t xml:space="preserve"> </w:t>
      </w:r>
      <w:r>
        <w:t xml:space="preserve">load profile with</w:t>
      </w:r>
      <w:r>
        <w:t xml:space="preserve"> </w:t>
      </w:r>
      <w:r>
        <w:rPr>
          <w:i/>
          <w:iCs/>
        </w:rPr>
        <w:t xml:space="preserve">this</w:t>
      </w:r>
      <w:r>
        <w:rPr>
          <w:i/>
          <w:iCs/>
        </w:rP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set of downstream dependencies is a reasoning task.</w:t>
      </w:r>
    </w:p>
    <w:p>
      <w:pPr>
        <w:pStyle w:val="BodyText"/>
      </w:pPr>
      <w:r>
        <w:rPr>
          <w:b/>
          <w:bCs/>
        </w:rPr>
        <w:t xml:space="preserve">Question 2: Would the correct answer change if a single parameter in the</w:t>
      </w:r>
      <w:r>
        <w:rPr>
          <w:b/>
          <w:bCs/>
        </w:rPr>
        <w:t xml:space="preserve"> </w:t>
      </w:r>
      <w:r>
        <w:rPr>
          <w:b/>
          <w:bCs/>
        </w:rPr>
        <w:t xml:space="preserve">system changed?</w:t>
      </w:r>
      <w:r>
        <w:t xml:space="preserve"> </w:t>
      </w:r>
      <w:r>
        <w:t xml:space="preserve">If yes, the task requires reasoning about parameter</w:t>
      </w:r>
      <w:r>
        <w:t xml:space="preserve"> </w:t>
      </w:r>
      <w:r>
        <w:t xml:space="preserve">sensitivity, which is a property of the system’s actual behaviour, not of</w:t>
      </w:r>
      <w:r>
        <w:t xml:space="preserve"> </w:t>
      </w:r>
      <w:r>
        <w:t xml:space="preserve">the general shape of a category of solutions. Pattern tasks produce the</w:t>
      </w:r>
      <w:r>
        <w:t xml:space="preserve"> </w:t>
      </w:r>
      <w:r>
        <w:t xml:space="preserve">same answer across reasonable parameter variations; reasoning tasks produce</w:t>
      </w:r>
      <w:r>
        <w:t xml:space="preserve"> </w:t>
      </w:r>
      <w:r>
        <w:t xml:space="preserve">answers that are contingent on specific values. For example, the</w:t>
      </w:r>
      <w:r>
        <w:t xml:space="preserve"> </w:t>
      </w:r>
      <w:r>
        <w:t xml:space="preserve">implementation of a</w:t>
      </w:r>
      <w:r>
        <w:t xml:space="preserve"> </w:t>
      </w:r>
      <w:r>
        <w:rPr>
          <w:rStyle w:val="VerbatimChar"/>
        </w:rPr>
        <w:t xml:space="preserve">Channel&lt;T&gt;</w:t>
      </w:r>
      <w:r>
        <w:t xml:space="preserve">-based producer-consumer pattern is a</w:t>
      </w:r>
      <w:r>
        <w:t xml:space="preserve"> </w:t>
      </w:r>
      <w:r>
        <w:t xml:space="preserve">pattern task — the structure is the same regardless of buffer size. But the</w:t>
      </w:r>
      <w:r>
        <w:t xml:space="preserve"> </w:t>
      </w:r>
      <w:r>
        <w:t xml:space="preserve">choice between</w:t>
      </w:r>
      <w:r>
        <w:t xml:space="preserve"> </w:t>
      </w:r>
      <w:r>
        <w:rPr>
          <w:rStyle w:val="VerbatimChar"/>
        </w:rPr>
        <w:t xml:space="preserve">BoundedChannelFullMode.Wait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BoundedChannelFullMode.DropWrite</w:t>
      </w:r>
      <w:r>
        <w:t xml:space="preserve"> </w:t>
      </w:r>
      <w:r>
        <w:t xml:space="preserve">for a specific throughput requirement</w:t>
      </w:r>
      <w:r>
        <w:t xml:space="preserve"> </w:t>
      </w:r>
      <w:r>
        <w:t xml:space="preserve">under a specific load profile is a reasoning task — the correct choice</w:t>
      </w:r>
      <w:r>
        <w:t xml:space="preserve"> </w:t>
      </w:r>
      <w:r>
        <w:t xml:space="preserve">depends on the system’s actual latency budget and fault tolerance</w:t>
      </w:r>
      <w:r>
        <w:t xml:space="preserve"> </w:t>
      </w:r>
      <w:r>
        <w:t xml:space="preserve">requirements.</w:t>
      </w:r>
    </w:p>
    <w:p>
      <w:pPr>
        <w:pStyle w:val="BodyText"/>
      </w:pPr>
      <w:r>
        <w:rPr>
          <w:b/>
          <w:bCs/>
        </w:rPr>
        <w:t xml:space="preserve">Question 3: Is the output’s correctness verifiable by compilation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standard tests alone?</w:t>
      </w:r>
      <w:r>
        <w:t xml:space="preserve"> </w:t>
      </w:r>
      <w:r>
        <w:t xml:space="preserve">If the only verification required is</w:t>
      </w:r>
      <w:r>
        <w:t xml:space="preserve"> </w:t>
      </w:r>
      <w:r>
        <w:t xml:space="preserve">“does it</w:t>
      </w:r>
      <w:r>
        <w:t xml:space="preserve"> </w:t>
      </w:r>
      <w:r>
        <w:t xml:space="preserve">compile and pass the existing test suite,”</w:t>
      </w:r>
      <w:r>
        <w:t xml:space="preserve"> </w:t>
      </w:r>
      <w:r>
        <w:t xml:space="preserve">the output is almost certainly a</w:t>
      </w:r>
      <w:r>
        <w:t xml:space="preserve"> </w:t>
      </w:r>
      <w:r>
        <w:t xml:space="preserve">pattern task. If correctness depends on behaviour under specific concurrency</w:t>
      </w:r>
      <w:r>
        <w:t xml:space="preserve"> </w:t>
      </w:r>
      <w:r>
        <w:t xml:space="preserve">conditions, specific failure sequences, or specific operational states that</w:t>
      </w:r>
      <w:r>
        <w:t xml:space="preserve"> </w:t>
      </w:r>
      <w:r>
        <w:t xml:space="preserve">are not exercised by the standard test suite, the output is a reasoning</w:t>
      </w:r>
      <w:r>
        <w:t xml:space="preserve"> </w:t>
      </w:r>
      <w:r>
        <w:t xml:space="preserve">task that requires targeted verification beyond compilation. This third</w:t>
      </w:r>
      <w:r>
        <w:t xml:space="preserve"> </w:t>
      </w:r>
      <w:r>
        <w:t xml:space="preserve">question is particularly useful because it maps directly to the team’s</w:t>
      </w:r>
      <w:r>
        <w:t xml:space="preserve"> </w:t>
      </w:r>
      <w:r>
        <w:t xml:space="preserve">existing verification infrastructure: if the current test suite covers the</w:t>
      </w:r>
      <w:r>
        <w:t xml:space="preserve"> </w:t>
      </w:r>
      <w:r>
        <w:t xml:space="preserve">failure modes in question, even a reasoning task can be verified</w:t>
      </w:r>
      <w:r>
        <w:t xml:space="preserve"> </w:t>
      </w:r>
      <w:r>
        <w:t xml:space="preserve">mechanically; if it does not, the engineer must construct the verification</w:t>
      </w:r>
      <w:r>
        <w:t xml:space="preserve"> </w:t>
      </w:r>
      <w:r>
        <w:t xml:space="preserve">explicitly.</w:t>
      </w:r>
    </w:p>
    <w:p>
      <w:pPr>
        <w:pStyle w:val="BodyText"/>
      </w:pPr>
      <w:r>
        <w:t xml:space="preserve">These three questions do not produce a binary classification — they</w:t>
      </w:r>
      <w:r>
        <w:t xml:space="preserve"> </w:t>
      </w:r>
      <w:r>
        <w:t xml:space="preserve">produce a gradient. Some tasks are clearly pattern tasks (generating a</w:t>
      </w:r>
      <w:r>
        <w:t xml:space="preserve"> </w:t>
      </w:r>
      <w:r>
        <w:t xml:space="preserve">standard LINQ projection), some are clearly reasoning tasks (evaluating</w:t>
      </w:r>
      <w:r>
        <w:t xml:space="preserve"> </w:t>
      </w:r>
      <w:r>
        <w:t xml:space="preserve">distributed cache consistency under network partition), and many fall</w:t>
      </w:r>
      <w:r>
        <w:t xml:space="preserve"> </w:t>
      </w:r>
      <w:r>
        <w:t xml:space="preserve">somewhere in between (generating a</w:t>
      </w:r>
      <w:r>
        <w:t xml:space="preserve"> </w:t>
      </w:r>
      <w:r>
        <w:rPr>
          <w:rStyle w:val="VerbatimChar"/>
        </w:rPr>
        <w:t xml:space="preserve">BackgroundService</w:t>
      </w:r>
      <w:r>
        <w:t xml:space="preserve"> </w:t>
      </w:r>
      <w:r>
        <w:t xml:space="preserve">that handles</w:t>
      </w:r>
      <w:r>
        <w:t xml:space="preserve"> </w:t>
      </w:r>
      <w:r>
        <w:t xml:space="preserve">shutdown correctly — pattern-level structure, but the correctness of the</w:t>
      </w:r>
      <w:r>
        <w:t xml:space="preserve"> </w:t>
      </w:r>
      <w:r>
        <w:t xml:space="preserve">shutdown path depends on system-specific timing). For tasks on the gradient,</w:t>
      </w:r>
      <w:r>
        <w:t xml:space="preserve"> </w:t>
      </w:r>
      <w:r>
        <w:t xml:space="preserve">the verification effort should be proportional to the number of</w:t>
      </w:r>
      <w:r>
        <w:t xml:space="preserve"> </w:t>
      </w:r>
      <w:r>
        <w:t xml:space="preserve">system-specific dependencies the output carries: more dependencies, deeper</w:t>
      </w:r>
      <w:r>
        <w:t xml:space="preserve"> </w:t>
      </w:r>
      <w:r>
        <w:t xml:space="preserve">verification.</w:t>
      </w:r>
    </w:p>
    <w:p>
      <w:pPr>
        <w:pStyle w:val="BodyText"/>
      </w:pPr>
      <w:r>
        <w:t xml:space="preserve">The practical distinction this section establishes is between two</w:t>
      </w:r>
      <w:r>
        <w:t xml:space="preserve"> </w:t>
      </w:r>
      <w:r>
        <w:t xml:space="preserve">categories of AI assistance that look similar on the surface but have</w:t>
      </w:r>
      <w:r>
        <w:t xml:space="preserve"> </w:t>
      </w:r>
      <w:r>
        <w:t xml:space="preserve">meaningfully different verification requirements:</w:t>
      </w:r>
    </w:p>
    <w:p>
      <w:pPr>
        <w:pStyle w:val="BodyText"/>
      </w:pPr>
      <w:r>
        <w:rPr>
          <w:b/>
          <w:bCs/>
        </w:rPr>
        <w:t xml:space="preserve">Pattern tasks</w:t>
      </w:r>
      <w:r>
        <w:t xml:space="preserve"> </w:t>
      </w:r>
      <w:r>
        <w:t xml:space="preserve">are those where the output is essentially a</w:t>
      </w:r>
      <w:r>
        <w:t xml:space="preserve"> </w:t>
      </w:r>
      <w:r>
        <w:t xml:space="preserve">re-expression of a well-established pattern from the training distribution:</w:t>
      </w:r>
      <w:r>
        <w:t xml:space="preserve"> </w:t>
      </w:r>
      <w:r>
        <w:t xml:space="preserve">implementing a well-known design pattern in .NET, translating between</w:t>
      </w:r>
      <w:r>
        <w:t xml:space="preserve"> </w:t>
      </w:r>
      <w:r>
        <w:t xml:space="preserve">roughly equivalent APIs, generating idiomatic LINQ expressions for a</w:t>
      </w:r>
      <w:r>
        <w:t xml:space="preserve"> </w:t>
      </w:r>
      <w:r>
        <w:t xml:space="preserve">standard transformation, explaining what a language feature does. For these,</w:t>
      </w:r>
      <w:r>
        <w:t xml:space="preserve"> </w:t>
      </w:r>
      <w:r>
        <w:t xml:space="preserve">statistical reasoning is effective and the output is reliable enough to</w:t>
      </w:r>
      <w:r>
        <w:t xml:space="preserve"> </w:t>
      </w:r>
      <w:r>
        <w:t xml:space="preserve">review lightly for fit to context.</w:t>
      </w:r>
    </w:p>
    <w:p>
      <w:pPr>
        <w:pStyle w:val="BodyText"/>
      </w:pPr>
      <w:r>
        <w:rPr>
          <w:b/>
          <w:bCs/>
        </w:rPr>
        <w:t xml:space="preserve">Reasoning tasks</w:t>
      </w:r>
      <w:r>
        <w:t xml:space="preserve"> </w:t>
      </w:r>
      <w:r>
        <w:t xml:space="preserve">are those where arriving at the correct answer requires</w:t>
      </w:r>
      <w:r>
        <w:t xml:space="preserve"> </w:t>
      </w:r>
      <w:r>
        <w:t xml:space="preserve">combining specific facts about the system in question — facts the model may</w:t>
      </w:r>
      <w:r>
        <w:t xml:space="preserve"> </w:t>
      </w:r>
      <w:r>
        <w:t xml:space="preserve">not have reliably or consistently — in a way that depends on their precise</w:t>
      </w:r>
      <w:r>
        <w:t xml:space="preserve"> </w:t>
      </w:r>
      <w:r>
        <w:t xml:space="preserve">interaction. Architectural decisions about a specific system, performance</w:t>
      </w:r>
      <w:r>
        <w:t xml:space="preserve"> </w:t>
      </w:r>
      <w:r>
        <w:t xml:space="preserve">analysis of a specific bottleneck, correctness analysis of a specific</w:t>
      </w:r>
      <w:r>
        <w:t xml:space="preserve"> </w:t>
      </w:r>
      <w:r>
        <w:t xml:space="preserve">concurrent interaction, security analysis of a specific trust boundary —</w:t>
      </w:r>
      <w:r>
        <w:t xml:space="preserve"> </w:t>
      </w:r>
      <w:r>
        <w:t xml:space="preserve">these are reasoning tasks. Statistical reasoning may produce output that</w:t>
      </w:r>
      <w:r>
        <w:t xml:space="preserve"> </w:t>
      </w:r>
      <w:r>
        <w:t xml:space="preserve">looks like the result of such reasoning, but the output should be treated as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starting point that surfaces relevant considerations</w:t>
      </w:r>
      <w:r>
        <w:t xml:space="preserve"> </w:t>
      </w:r>
      <w:r>
        <w:t xml:space="preserve">rather than as a</w:t>
      </w:r>
      <w:r>
        <w:t xml:space="preserve"> </w:t>
      </w:r>
      <w:r>
        <w:t xml:space="preserve">derived result, because the derivation is happening statistically rather</w:t>
      </w:r>
      <w:r>
        <w:t xml:space="preserve"> </w:t>
      </w:r>
      <w:r>
        <w:t xml:space="preserve">than logically.</w:t>
      </w:r>
    </w:p>
    <w:p>
      <w:pPr>
        <w:pStyle w:val="BodyText"/>
      </w:pPr>
      <w:r>
        <w:t xml:space="preserve">Section 04 explores the most consequential case of this distinction in</w:t>
      </w:r>
      <w:r>
        <w:t xml:space="preserve"> </w:t>
      </w:r>
      <w:r>
        <w:t xml:space="preserve">practice: the failure mode that occurs when statistical reasoning is applied</w:t>
      </w:r>
      <w:r>
        <w:t xml:space="preserve"> </w:t>
      </w:r>
      <w:r>
        <w:t xml:space="preserve">to a case it does not have sufficient grounding for, and what the resulting</w:t>
      </w:r>
      <w:r>
        <w:t xml:space="preserve"> </w:t>
      </w:r>
      <w:r>
        <w:t xml:space="preserve">output looks like and how it should be handled.</w:t>
      </w:r>
    </w:p>
    <w:bookmarkEnd w:id="29"/>
    <w:bookmarkStart w:id="30" w:name="X931e52af5aaf8171aaf502a1aeb451a6b29e09a"/>
    <w:p>
      <w:pPr>
        <w:pStyle w:val="Heading2"/>
      </w:pPr>
      <w:r>
        <w:t xml:space="preserve">The Root Cause: There Is No</w:t>
      </w:r>
      <w:r>
        <w:t xml:space="preserve"> </w:t>
      </w:r>
      <w:r>
        <w:t xml:space="preserve">“I Know That I Don’t Know”</w:t>
      </w:r>
    </w:p>
    <w:p>
      <w:pPr>
        <w:pStyle w:val="FirstParagraph"/>
      </w:pPr>
      <w:r>
        <w:t xml:space="preserve">It is worth pausing explicitly on the deeper reason why statistical</w:t>
      </w:r>
      <w:r>
        <w:t xml:space="preserve"> </w:t>
      </w:r>
      <w:r>
        <w:t xml:space="preserve">reasoning fails in precisely this way — silently and confidently, not loudly</w:t>
      </w:r>
      <w:r>
        <w:t xml:space="preserve"> </w:t>
      </w:r>
      <w:r>
        <w:t xml:space="preserve">and with acknowledgement. A large language model has no internal state</w:t>
      </w:r>
      <w:r>
        <w:t xml:space="preserve"> </w:t>
      </w:r>
      <w:r>
        <w:t xml:space="preserve">representing</w:t>
      </w:r>
      <w:r>
        <w:t xml:space="preserve"> </w:t>
      </w:r>
      <w:r>
        <w:t xml:space="preserve">“I am uncertain.”</w:t>
      </w:r>
      <w:r>
        <w:t xml:space="preserve"> </w:t>
      </w:r>
      <w:r>
        <w:t xml:space="preserve">At every step of the generative loop, it</w:t>
      </w:r>
      <w:r>
        <w:t xml:space="preserve"> </w:t>
      </w:r>
      <w:r>
        <w:t xml:space="preserve">produces a probability distribution over the vocabulary. The value of that</w:t>
      </w:r>
      <w:r>
        <w:t xml:space="preserve"> </w:t>
      </w:r>
      <w:r>
        <w:t xml:space="preserve">distribution is a function of the learned weights and the incoming context —</w:t>
      </w:r>
      <w:r>
        <w:t xml:space="preserve"> </w:t>
      </w:r>
      <w:r>
        <w:t xml:space="preserve">not a function of any</w:t>
      </w:r>
      <w:r>
        <w:t xml:space="preserve"> </w:t>
      </w:r>
      <w:r>
        <w:t xml:space="preserve">“knowledge confidence”</w:t>
      </w:r>
      <w:r>
        <w:t xml:space="preserve"> </w:t>
      </w:r>
      <w:r>
        <w:t xml:space="preserve">signal independent of the</w:t>
      </w:r>
      <w:r>
        <w:t xml:space="preserve"> </w:t>
      </w:r>
      <w:r>
        <w:t xml:space="preserve">generated content. What the model produces in a dense region and what it</w:t>
      </w:r>
      <w:r>
        <w:t xml:space="preserve"> </w:t>
      </w:r>
      <w:r>
        <w:t xml:space="preserve">produces in a sparse region of the training distribution pass through</w:t>
      </w:r>
      <w:r>
        <w:t xml:space="preserve"> </w:t>
      </w:r>
      <w:r>
        <w:t xml:space="preserve">exactly the same generative mechanism — the only difference is in the</w:t>
      </w:r>
      <w:r>
        <w:t xml:space="preserve"> </w:t>
      </w:r>
      <w:r>
        <w:t xml:space="preserve">relative likelihoods of different tokens at each step, not in any existing</w:t>
      </w:r>
      <w:r>
        <w:t xml:space="preserve"> </w:t>
      </w:r>
      <w:r>
        <w:t xml:space="preserve">state that tells the model it</w:t>
      </w:r>
      <w:r>
        <w:t xml:space="preserve"> </w:t>
      </w:r>
      <w:r>
        <w:t xml:space="preserve">“knows”</w:t>
      </w:r>
      <w:r>
        <w:t xml:space="preserve"> </w:t>
      </w:r>
      <w:r>
        <w:t xml:space="preserve">or is</w:t>
      </w:r>
      <w:r>
        <w:t xml:space="preserve"> </w:t>
      </w:r>
      <w:r>
        <w:t xml:space="preserve">“guessing.”</w:t>
      </w:r>
    </w:p>
    <w:p>
      <w:pPr>
        <w:pStyle w:val="BodyText"/>
      </w:pPr>
      <w:r>
        <w:t xml:space="preserve">This structural absence of knowledge about</w:t>
      </w:r>
      <w:r>
        <w:t xml:space="preserve"> </w:t>
      </w:r>
      <w:r>
        <w:t xml:space="preserve">“what I know and what I don’t</w:t>
      </w:r>
      <w:r>
        <w:t xml:space="preserve"> </w:t>
      </w:r>
      <w:r>
        <w:t xml:space="preserve">know”</w:t>
      </w:r>
      <w:r>
        <w:t xml:space="preserve"> </w:t>
      </w:r>
      <w:r>
        <w:t xml:space="preserve">is what makes instructions like</w:t>
      </w:r>
      <w:r>
        <w:t xml:space="preserve"> </w:t>
      </w:r>
      <w:r>
        <w:t xml:space="preserve">“say so if you are unsure”</w:t>
      </w:r>
      <w:r>
        <w:t xml:space="preserve"> </w:t>
      </w:r>
      <w:r>
        <w:t xml:space="preserve">limited</w:t>
      </w:r>
      <w:r>
        <w:t xml:space="preserve"> </w:t>
      </w:r>
      <w:r>
        <w:t xml:space="preserve">and unreliable in effect. When the model complies with such instructions and</w:t>
      </w:r>
      <w:r>
        <w:t xml:space="preserve"> </w:t>
      </w:r>
      <w:r>
        <w:t xml:space="preserve">generates text expressing uncertainty —</w:t>
      </w:r>
      <w:r>
        <w:t xml:space="preserve"> </w:t>
      </w:r>
      <w:r>
        <w:t xml:space="preserve">“I am not entirely sure about this,</w:t>
      </w:r>
      <w:r>
        <w:t xml:space="preserve"> </w:t>
      </w:r>
      <w:r>
        <w:t xml:space="preserve">but…,”</w:t>
      </w:r>
      <w:r>
        <w:t xml:space="preserve"> </w:t>
      </w:r>
      <w:r>
        <w:t xml:space="preserve">or</w:t>
      </w:r>
      <w:r>
        <w:t xml:space="preserve"> </w:t>
      </w:r>
      <w:r>
        <w:t xml:space="preserve">“this depends on…”</w:t>
      </w:r>
      <w:r>
        <w:t xml:space="preserve"> </w:t>
      </w:r>
      <w:r>
        <w:t xml:space="preserve">— that text is itself tokens predicted on the</w:t>
      </w:r>
      <w:r>
        <w:t xml:space="preserve"> </w:t>
      </w:r>
      <w:r>
        <w:t xml:space="preserve">basis of the density of uncertainty expressions in similar texts in the</w:t>
      </w:r>
      <w:r>
        <w:t xml:space="preserve"> </w:t>
      </w:r>
      <w:r>
        <w:t xml:space="preserve">training corpus. Uncertainty expression is statistically correlated with</w:t>
      </w:r>
      <w:r>
        <w:t xml:space="preserve"> </w:t>
      </w:r>
      <w:r>
        <w:t xml:space="preserve">topics that writers tend to hedge about in technical writing — which may or</w:t>
      </w:r>
      <w:r>
        <w:t xml:space="preserve"> </w:t>
      </w:r>
      <w:r>
        <w:t xml:space="preserve">may not coincide with the cases where distrust is actually warranted. The</w:t>
      </w:r>
      <w:r>
        <w:t xml:space="preserve"> </w:t>
      </w:r>
      <w:r>
        <w:t xml:space="preserve">relationship is not non-existent, but it is far from reliable enough to</w:t>
      </w:r>
      <w:r>
        <w:t xml:space="preserve"> </w:t>
      </w:r>
      <w:r>
        <w:t xml:space="preserve">justify depending on it as a primary signal.</w:t>
      </w:r>
    </w:p>
    <w:bookmarkEnd w:id="30"/>
    <w:bookmarkStart w:id="31" w:name="Xf7ad1c1d4a9a589dfb7bec90551406ee41bb187"/>
    <w:p>
      <w:pPr>
        <w:pStyle w:val="Heading2"/>
      </w:pPr>
      <w:r>
        <w:t xml:space="preserve">Caution Versus Verification as an Engineering Strategy</w:t>
      </w:r>
    </w:p>
    <w:p>
      <w:pPr>
        <w:pStyle w:val="FirstParagraph"/>
      </w:pPr>
      <w:r>
        <w:t xml:space="preserve">The practical consequence of this diagnosis is the following: the model’s</w:t>
      </w:r>
      <w:r>
        <w:t xml:space="preserve"> </w:t>
      </w:r>
      <w:r>
        <w:t xml:space="preserve">self-caution — asking it to hedge when it is not confident — is an awareness</w:t>
      </w:r>
      <w:r>
        <w:t xml:space="preserve"> </w:t>
      </w:r>
      <w:r>
        <w:t xml:space="preserve">mechanism, not a guarantee mechanism. It can improve the reading experience</w:t>
      </w:r>
      <w:r>
        <w:t xml:space="preserve"> </w:t>
      </w:r>
      <w:r>
        <w:t xml:space="preserve">and reduce some cases of hasty acceptance by engineers. But it does not</w:t>
      </w:r>
      <w:r>
        <w:t xml:space="preserve"> </w:t>
      </w:r>
      <w:r>
        <w:t xml:space="preserve">replace engineering verification that depends on independent knowledge of</w:t>
      </w:r>
      <w:r>
        <w:t xml:space="preserve"> </w:t>
      </w:r>
      <w:r>
        <w:t xml:space="preserve">the subject, not on a signal derived from the model itself.</w:t>
      </w:r>
    </w:p>
    <w:p>
      <w:pPr>
        <w:pStyle w:val="BodyText"/>
      </w:pPr>
      <w:r>
        <w:t xml:space="preserve">The correct engineering strategy does not equate</w:t>
      </w:r>
      <w:r>
        <w:t xml:space="preserve"> </w:t>
      </w:r>
      <w:r>
        <w:t xml:space="preserve">“ask the model to hedge”</w:t>
      </w:r>
      <w:r>
        <w:t xml:space="preserve"> </w:t>
      </w:r>
      <w:r>
        <w:t xml:space="preserve">with</w:t>
      </w:r>
      <w:r>
        <w:t xml:space="preserve"> </w:t>
      </w:r>
      <w:r>
        <w:t xml:space="preserve">“independently verify the model’s output.”</w:t>
      </w:r>
      <w:r>
        <w:t xml:space="preserve"> </w:t>
      </w:r>
      <w:r>
        <w:t xml:space="preserve">The first improves the</w:t>
      </w:r>
      <w:r>
        <w:t xml:space="preserve"> </w:t>
      </w:r>
      <w:r>
        <w:t xml:space="preserve">model’s output; the second is an external engineering guarantee. For some</w:t>
      </w:r>
      <w:r>
        <w:t xml:space="preserve"> </w:t>
      </w:r>
      <w:r>
        <w:t xml:space="preserve">tasks — pattern tasks in dense distribution regions — a cautionary nudge may</w:t>
      </w:r>
      <w:r>
        <w:t xml:space="preserve"> </w:t>
      </w:r>
      <w:r>
        <w:t xml:space="preserve">suffice to direct attention. For reasoning tasks and sparse-region tasks,</w:t>
      </w:r>
      <w:r>
        <w:t xml:space="preserve"> </w:t>
      </w:r>
      <w:r>
        <w:t xml:space="preserve">there is no substitute for independent verification of the output.</w:t>
      </w:r>
    </w:p>
    <w:bookmarkEnd w:id="31"/>
    <w:bookmarkStart w:id="32" w:name="X545eae06fe1d0a3707f3cb3b259a620067e12a3"/>
    <w:p>
      <w:pPr>
        <w:pStyle w:val="Heading2"/>
      </w:pPr>
      <w:r>
        <w:t xml:space="preserve">What This Means for Reviewing AI-Generated Code</w:t>
      </w:r>
    </w:p>
    <w:p>
      <w:pPr>
        <w:pStyle w:val="FirstParagraph"/>
      </w:pPr>
      <w:r>
        <w:t xml:space="preserve">A precise understanding of statistical inference and its limits leads to a</w:t>
      </w:r>
      <w:r>
        <w:t xml:space="preserve"> </w:t>
      </w:r>
      <w:r>
        <w:t xml:space="preserve">modification in how the code review process for AI-generated code is</w:t>
      </w:r>
      <w:r>
        <w:t xml:space="preserve"> </w:t>
      </w:r>
      <w:r>
        <w:t xml:space="preserve">designed in a .NET team. Traditional code review is designed to verify</w:t>
      </w:r>
      <w:r>
        <w:t xml:space="preserve"> </w:t>
      </w:r>
      <w:r>
        <w:t xml:space="preserve">implementation correctness against stated intent, architectural fit, and</w:t>
      </w:r>
      <w:r>
        <w:t xml:space="preserve"> </w:t>
      </w:r>
      <w:r>
        <w:t xml:space="preserve">idiomatic style — a skill reviewers possess because they identify familiar</w:t>
      </w:r>
      <w:r>
        <w:t xml:space="preserve"> </w:t>
      </w:r>
      <w:r>
        <w:t xml:space="preserve">patterns quickly.</w:t>
      </w:r>
    </w:p>
    <w:p>
      <w:pPr>
        <w:pStyle w:val="BodyText"/>
      </w:pPr>
      <w:r>
        <w:t xml:space="preserve">The most dangerous AI failure modes —</w:t>
      </w:r>
      <w:r>
        <w:t xml:space="preserve"> </w:t>
      </w:r>
      <w:r>
        <w:t xml:space="preserve">“correct shape, wrong semantics”</w:t>
      </w:r>
      <w:r>
        <w:t xml:space="preserve"> </w:t>
      </w:r>
      <w:r>
        <w:t xml:space="preserve">as</w:t>
      </w:r>
      <w:r>
        <w:t xml:space="preserve"> </w:t>
      </w:r>
      <w:r>
        <w:t xml:space="preserve">exemplified by the</w:t>
      </w:r>
      <w:r>
        <w:t xml:space="preserve"> </w:t>
      </w:r>
      <w:r>
        <w:rPr>
          <w:rStyle w:val="VerbatimChar"/>
        </w:rPr>
        <w:t xml:space="preserve">Channel&lt;T&gt;</w:t>
      </w:r>
      <w:r>
        <w:t xml:space="preserve"> </w:t>
      </w:r>
      <w:r>
        <w:t xml:space="preserve">code — are precisely those that match</w:t>
      </w:r>
      <w:r>
        <w:t xml:space="preserve"> </w:t>
      </w:r>
      <w:r>
        <w:t xml:space="preserve">familiar patterns. A reviewer reading in search of patterns they know will</w:t>
      </w:r>
      <w:r>
        <w:t xml:space="preserve"> </w:t>
      </w:r>
      <w:r>
        <w:t xml:space="preserve">treat the code as correct, because it looks correct. Effective verification</w:t>
      </w:r>
      <w:r>
        <w:t xml:space="preserve"> </w:t>
      </w:r>
      <w:r>
        <w:t xml:space="preserve">of this category requires proactive examination of specific potential</w:t>
      </w:r>
      <w:r>
        <w:t xml:space="preserve"> </w:t>
      </w:r>
      <w:r>
        <w:t xml:space="preserve">failure scenarios —</w:t>
      </w:r>
      <w:r>
        <w:t xml:space="preserve"> </w:t>
      </w:r>
      <w:r>
        <w:t xml:space="preserve">“what happens on the shutdown path?”</w:t>
      </w:r>
      <w:r>
        <w:t xml:space="preserve"> </w:t>
      </w:r>
      <w:r>
        <w:t xml:space="preserve">— not merely</w:t>
      </w:r>
      <w:r>
        <w:t xml:space="preserve"> </w:t>
      </w:r>
      <w:r>
        <w:t xml:space="preserve">reading in search of the familiar.</w:t>
      </w:r>
    </w:p>
    <w:p>
      <w:pPr>
        <w:pStyle w:val="BodyText"/>
      </w:pPr>
      <w:r>
        <w:t xml:space="preserve">This means AI-generated code review works best when reviewers adopt a</w:t>
      </w:r>
      <w:r>
        <w:t xml:space="preserve"> </w:t>
      </w:r>
      <w:r>
        <w:t xml:space="preserve">“find the scenario in which this fails”</w:t>
      </w:r>
      <w:r>
        <w:t xml:space="preserve"> </w:t>
      </w:r>
      <w:r>
        <w:t xml:space="preserve">methodology instead of</w:t>
      </w:r>
      <w:r>
        <w:t xml:space="preserve"> </w:t>
      </w:r>
      <w:r>
        <w:t xml:space="preserve">“does this</w:t>
      </w:r>
      <w:r>
        <w:t xml:space="preserve"> </w:t>
      </w:r>
      <w:r>
        <w:t xml:space="preserve">look right?”</w:t>
      </w:r>
      <w:r>
        <w:t xml:space="preserve"> </w:t>
      </w:r>
      <w:r>
        <w:t xml:space="preserve">Not because generated code is worse on average than</w:t>
      </w:r>
      <w:r>
        <w:t xml:space="preserve"> </w:t>
      </w:r>
      <w:r>
        <w:t xml:space="preserve">hand-written code, but because its distinctive failure mode — correct shape</w:t>
      </w:r>
      <w:r>
        <w:t xml:space="preserve"> </w:t>
      </w:r>
      <w:r>
        <w:t xml:space="preserve">with a semantic flaw in a targeted edge case — is not detected well by</w:t>
      </w:r>
      <w:r>
        <w:t xml:space="preserve"> </w:t>
      </w:r>
      <w:r>
        <w:t xml:space="preserve">traditional pattern-recognition-based code review. Building this proactive</w:t>
      </w:r>
      <w:r>
        <w:t xml:space="preserve"> </w:t>
      </w:r>
      <w:r>
        <w:t xml:space="preserve">methodology into team practices is what makes the difference between using</w:t>
      </w:r>
      <w:r>
        <w:t xml:space="preserve"> </w:t>
      </w:r>
      <w:r>
        <w:t xml:space="preserve">AI professionally and using it in a way that silently transfers risk to</w:t>
      </w:r>
      <w:r>
        <w:t xml:space="preserve"> </w:t>
      </w:r>
      <w:r>
        <w:t xml:space="preserve">production.</w:t>
      </w:r>
    </w:p>
    <w:bookmarkEnd w:id="32"/>
    <w:bookmarkStart w:id="33" w:name="Xa356716d559fc32581ca320c02beb8d1164ab8b"/>
    <w:p>
      <w:pPr>
        <w:pStyle w:val="Heading2"/>
      </w:pPr>
      <w:r>
        <w:t xml:space="preserve">What This Means for the Individual Engineer and the Team</w:t>
      </w:r>
    </w:p>
    <w:p>
      <w:pPr>
        <w:pStyle w:val="FirstParagraph"/>
      </w:pPr>
      <w:r>
        <w:t xml:space="preserve">The most prominent practical value of this section is not reducing AI use</w:t>
      </w:r>
      <w:r>
        <w:t xml:space="preserve"> </w:t>
      </w:r>
      <w:r>
        <w:t xml:space="preserve">in code review or generation — but recalibrating expectations of it more</w:t>
      </w:r>
      <w:r>
        <w:t xml:space="preserve"> </w:t>
      </w:r>
      <w:r>
        <w:t xml:space="preserve">precisely. An engineer who understands that statistical reasoning works</w:t>
      </w:r>
      <w:r>
        <w:t xml:space="preserve"> </w:t>
      </w:r>
      <w:r>
        <w:t xml:space="preserve">highly reliably in dense regions of the training distribution and recedes</w:t>
      </w:r>
      <w:r>
        <w:t xml:space="preserve"> </w:t>
      </w:r>
      <w:r>
        <w:t xml:space="preserve">at its edges owns a mental model that directs AI toward the tasks it</w:t>
      </w:r>
      <w:r>
        <w:t xml:space="preserve"> </w:t>
      </w:r>
      <w:r>
        <w:t xml:space="preserve">performs well and directs verification effort toward the scenarios with the</w:t>
      </w:r>
      <w:r>
        <w:t xml:space="preserve"> </w:t>
      </w:r>
      <w:r>
        <w:t xml:space="preserve">highest silent-failure risk. This is more effective than either full trust</w:t>
      </w:r>
      <w:r>
        <w:t xml:space="preserve"> </w:t>
      </w:r>
      <w:r>
        <w:t xml:space="preserve">or blanket scepticism that nullifies the tool’s value. A team that</w:t>
      </w:r>
      <w:r>
        <w:t xml:space="preserve"> </w:t>
      </w:r>
      <w:r>
        <w:t xml:space="preserve">communicates this understanding and converts it into binding practices —</w:t>
      </w:r>
      <w:r>
        <w:t xml:space="preserve"> </w:t>
      </w:r>
      <w:r>
        <w:t xml:space="preserve">verification standards, failure-scenario-oriented review, documentation of</w:t>
      </w:r>
      <w:r>
        <w:t xml:space="preserve"> </w:t>
      </w:r>
      <w:r>
        <w:t xml:space="preserve">AI-related production incidents — builds an institutional capability for</w:t>
      </w:r>
      <w:r>
        <w:t xml:space="preserve"> </w:t>
      </w:r>
      <w:r>
        <w:t xml:space="preserve">effective professional use that accumulates and deepens over time.</w:t>
      </w:r>
    </w:p>
    <w:p>
      <w:pPr>
        <w:pStyle w:val="BodyText"/>
      </w:pPr>
      <w:r>
        <w:t xml:space="preserve">That capability is best understood through a mundane daily situation: a</w:t>
      </w:r>
      <w:r>
        <w:t xml:space="preserve"> </w:t>
      </w:r>
      <w:r>
        <w:t xml:space="preserve">.NET engineer asks the model about the behavioural semantics of</w:t>
      </w:r>
      <w:r>
        <w:t xml:space="preserve"> </w:t>
      </w:r>
      <w:r>
        <w:rPr>
          <w:rStyle w:val="VerbatimChar"/>
        </w:rPr>
        <w:t xml:space="preserve">ValueTask&lt;T&gt;</w:t>
      </w:r>
      <w:r>
        <w:t xml:space="preserve"> </w:t>
      </w:r>
      <w:r>
        <w:t xml:space="preserve">under contention in production. The model generates a</w:t>
      </w:r>
      <w:r>
        <w:t xml:space="preserve"> </w:t>
      </w:r>
      <w:r>
        <w:t xml:space="preserve">convincing explanation noting that a</w:t>
      </w:r>
      <w:r>
        <w:t xml:space="preserve"> </w:t>
      </w:r>
      <w:r>
        <w:rPr>
          <w:rStyle w:val="VerbatimChar"/>
        </w:rPr>
        <w:t xml:space="preserve">ValueTask&lt;T&gt;</w:t>
      </w:r>
      <w:r>
        <w:t xml:space="preserve"> </w:t>
      </w:r>
      <w:r>
        <w:t xml:space="preserve">should not be awaited</w:t>
      </w:r>
      <w:r>
        <w:t xml:space="preserve"> </w:t>
      </w:r>
      <w:r>
        <w:t xml:space="preserve">more than once and that</w:t>
      </w:r>
      <w:r>
        <w:t xml:space="preserve"> </w:t>
      </w:r>
      <w:r>
        <w:rPr>
          <w:rStyle w:val="VerbatimChar"/>
        </w:rPr>
        <w:t xml:space="preserve">IsCompletedSuccessfully</w:t>
      </w:r>
      <w:r>
        <w:t xml:space="preserve"> </w:t>
      </w:r>
      <w:r>
        <w:t xml:space="preserve">is the correct check —</w:t>
      </w:r>
      <w:r>
        <w:t xml:space="preserve"> </w:t>
      </w:r>
      <w:r>
        <w:t xml:space="preserve">all well-established training patterns. But when the engineer asks a</w:t>
      </w:r>
      <w:r>
        <w:t xml:space="preserve"> </w:t>
      </w:r>
      <w:r>
        <w:t xml:space="preserve">specific question — what happens if a</w:t>
      </w:r>
      <w:r>
        <w:t xml:space="preserve"> </w:t>
      </w:r>
      <w:r>
        <w:rPr>
          <w:rStyle w:val="VerbatimChar"/>
        </w:rPr>
        <w:t xml:space="preserve">ValueTask&lt;int&gt;</w:t>
      </w:r>
      <w:r>
        <w:t xml:space="preserve"> </w:t>
      </w:r>
      <w:r>
        <w:t xml:space="preserve">is re-awaited twelve</w:t>
      </w:r>
      <w:r>
        <w:t xml:space="preserve"> </w:t>
      </w:r>
      <w:r>
        <w:t xml:space="preserve">times from concurrent threads while a custom</w:t>
      </w:r>
      <w:r>
        <w:t xml:space="preserve"> </w:t>
      </w:r>
      <w:r>
        <w:rPr>
          <w:rStyle w:val="VerbatimChar"/>
        </w:rPr>
        <w:t xml:space="preserve">IAsyncValueTaskSource&lt;int&gt;</w:t>
      </w:r>
      <w:r>
        <w:t xml:space="preserve"> </w:t>
      </w:r>
      <w:r>
        <w:t xml:space="preserve">manages state in a high-performance library’s private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style? — the</w:t>
      </w:r>
      <w:r>
        <w:t xml:space="preserve"> </w:t>
      </w:r>
      <w:r>
        <w:t xml:space="preserve">question moves from a dense to a sparse region, and the model generates an</w:t>
      </w:r>
      <w:r>
        <w:t xml:space="preserve"> </w:t>
      </w:r>
      <w:r>
        <w:t xml:space="preserve">answer that convincingly restates the general rules but may not address the</w:t>
      </w:r>
      <w:r>
        <w:t xml:space="preserve"> </w:t>
      </w:r>
      <w:r>
        <w:t xml:space="preserve">precise thread-safety semantics of that specific composition. The framework</w:t>
      </w:r>
      <w:r>
        <w:t xml:space="preserve"> </w:t>
      </w:r>
      <w:r>
        <w:t xml:space="preserve">drawn in this section lets the engineer recognise that transition and scale</w:t>
      </w:r>
      <w:r>
        <w:t xml:space="preserve"> </w:t>
      </w:r>
      <w:r>
        <w:t xml:space="preserve">verification effort accordingly instead of absolutely accepting or</w:t>
      </w:r>
      <w:r>
        <w:t xml:space="preserve"> </w:t>
      </w:r>
      <w:r>
        <w:t xml:space="preserve">rejecting the answer.</w:t>
      </w:r>
    </w:p>
    <w:p>
      <w:pPr>
        <w:pStyle w:val="BodyText"/>
        <w:sectPr w:rsidR="00FC693F" w:rsidRPr="0006063C" w:rsidSect="00034616">
          <w:headerReference r:id="rId9" w:type="first"/>
          <w:headerReference r:id="rId10" w:type="default"/>
          <w:footerReference r:id="rId11" w:type="first"/>
          <w:footerReference r:id="rId12" w:type="default"/>
          <w:pgSz w:h="16838" w:w="11906"/>
          <w:pgMar w:bottom="1418" w:footer="680" w:gutter="0" w:header="567" w:left="1588" w:right="1021" w:top="1134"/>
          <w:cols w:space="720"/>
          <w:titlePg/>
          <w:docGrid w:linePitch="360"/>
        </w:sectPr>
      </w:pPr>
      <w:r>
        <w:t xml:space="preserve">Section 04 completes this picture by addressing the costliest kind of</w:t>
      </w:r>
      <w:r>
        <w:t xml:space="preserve"> </w:t>
      </w:r>
      <w:r>
        <w:t xml:space="preserve">silent failure in practice — and a team that has internalised the</w:t>
      </w:r>
      <w:r>
        <w:t xml:space="preserve"> </w:t>
      </w:r>
      <w:r>
        <w:t xml:space="preserve">recalibration above will read that section not as a catalogue of horrors</w:t>
      </w:r>
      <w:r>
        <w:t xml:space="preserve"> </w:t>
      </w:r>
      <w:r>
        <w:t xml:space="preserve">but as the verification agenda its own incident documentation should</w:t>
      </w:r>
      <w:r>
        <w:t xml:space="preserve"> </w:t>
      </w:r>
      <w:r>
        <w:t xml:space="preserve">already be converging toward.</w:t>
      </w:r>
    </w:p>
    <w:bookmarkEnd w:id="33"/>
    <w:bookmarkEnd w:id="34"/>
    <w:p>
      <w:pPr>
        <w:spacing w:before="0" w:after="0" w:line="240" w:lineRule="auto"/>
        <w:jc w:val="center"/>
      </w:pPr>
      <w:r>
        <w:drawing>
          <wp:inline>
            <wp:extent cx="7560000" cy="1069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-cover.jp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0" w:right="0" w:bottom="0" w:left="0" w:header="0" w:footer="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sz w:val="18"/>
        <w:color w:val="78411E"/>
        <w:rFonts w:ascii="Open Sans"/>
      </w:rPr>
      <w:t xml:space="preserve">— </w:t>
    </w:r>
    <w:fldSimple w:instr=" PAGE ">
      <w:r>
        <w:rPr>
          <w:sz w:val="18"/>
          <w:color w:val="78411E"/>
          <w:rFonts w:ascii="Open Sans"/>
        </w:rPr>
        <w:t>1</w:t>
      </w:r>
    </w:fldSimple>
    <w:r>
      <w:rPr>
        <w:sz w:val="18"/>
        <w:color w:val="78411E"/>
        <w:rFonts w:ascii="Open Sans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Open Sans" w:hAnsi="Open Sans"/>
        <w:color w:val="8C735A"/>
        <w:sz w:val="15"/>
      </w:rPr>
      <w:t>AI-Assisted Professional Engineering with .NET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60" w:before="0" w:line="276" w:lineRule="auto"/>
    </w:pPr>
    <w:rPr>
      <w:rFonts w:ascii="Segoe UI" w:cs="Segoe UI" w:eastAsia="Segoe UI" w:hAnsi="Segoe UI"/>
      <w:b w:val="0"/>
      <w:i w:val="0"/>
      <w:color w:val="282828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360" w:before="720" w:line="252" w:lineRule="auto"/>
      <w:outlineLvl w:val="0"/>
    </w:pPr>
    <w:rPr>
      <w:rFonts w:ascii="Open Sans" w:asciiTheme="majorHAnsi" w:cs="Open Sans" w:cstheme="majorBidi" w:eastAsia="Open Sans" w:eastAsiaTheme="majorEastAsia" w:hAnsi="Open Sans" w:hAnsiTheme="majorHAnsi"/>
      <w:b/>
      <w:bCs/>
      <w:i w:val="0"/>
      <w:color w:val="78411E"/>
      <w:sz w:val="4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00" w:before="480" w:line="264" w:lineRule="auto"/>
      <w:outlineLvl w:val="1"/>
    </w:pPr>
    <w:rPr>
      <w:rFonts w:ascii="Open Sans" w:asciiTheme="majorHAnsi" w:cs="Open Sans" w:cstheme="majorBidi" w:eastAsia="Open Sans" w:eastAsiaTheme="majorEastAsia" w:hAnsi="Open Sans" w:hAnsiTheme="majorHAnsi"/>
      <w:b/>
      <w:bCs/>
      <w:i w:val="0"/>
      <w:color w:val="282828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360" w:line="264" w:lineRule="auto"/>
      <w:outlineLvl w:val="2"/>
    </w:pPr>
    <w:rPr>
      <w:rFonts w:ascii="Open Sans" w:asciiTheme="majorHAnsi" w:cs="Open Sans" w:cstheme="majorBidi" w:eastAsia="Open Sans" w:eastAsiaTheme="majorEastAsia" w:hAnsi="Open Sans" w:hAnsiTheme="majorHAnsi"/>
      <w:b/>
      <w:bCs/>
      <w:i w:val="0"/>
      <w:color w:val="50505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Open Sans" w:asciiTheme="majorHAnsi" w:cs="Open Sans" w:cstheme="majorBidi" w:eastAsia="Open Sans" w:eastAsiaTheme="majorEastAsia" w:hAnsi="Open Sans" w:hAnsiTheme="majorHAnsi"/>
      <w:b w:val="0"/>
      <w:bCs/>
      <w:i w:val="0"/>
      <w:iCs/>
      <w:color w:val="969696"/>
      <w:sz w:val="2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Open Sans" w:asciiTheme="majorHAnsi" w:cs="Open Sans" w:cstheme="majorBidi" w:eastAsia="Open Sans" w:eastAsiaTheme="majorEastAsia" w:hAnsi="Open Sans" w:hAnsiTheme="majorHAnsi"/>
      <w:b w:val="0"/>
      <w:i w:val="0"/>
      <w:color w:val="969696"/>
      <w:sz w:val="2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Open Sans" w:asciiTheme="majorHAnsi" w:cs="Open Sans" w:cstheme="majorBidi" w:eastAsia="Open Sans" w:eastAsiaTheme="majorEastAsia" w:hAnsi="Open Sans" w:hAnsiTheme="majorHAnsi"/>
      <w:b w:val="0"/>
      <w:i w:val="0"/>
      <w:iCs/>
      <w:color w:val="969696"/>
      <w:sz w:val="2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Open Sans" w:asciiTheme="majorHAnsi" w:cs="Open Sans" w:cstheme="majorBidi" w:eastAsia="Open Sans" w:eastAsiaTheme="majorEastAsia" w:hAnsi="Open Sans" w:hAnsiTheme="majorHAnsi"/>
      <w:b w:val="0"/>
      <w:i w:val="0"/>
      <w:iCs/>
      <w:color w:val="969696"/>
      <w:sz w:val="2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Open Sans" w:asciiTheme="majorHAnsi" w:cs="Open Sans" w:cstheme="majorBidi" w:eastAsia="Open Sans" w:eastAsiaTheme="majorEastAsia" w:hAnsi="Open Sans" w:hAnsiTheme="majorHAnsi"/>
      <w:b w:val="0"/>
      <w:i w:val="0"/>
      <w:color w:val="969696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Open Sans" w:asciiTheme="majorHAnsi" w:cs="Open Sans" w:cstheme="majorBidi" w:eastAsia="Open Sans" w:eastAsiaTheme="majorEastAsia" w:hAnsi="Open Sans" w:hAnsiTheme="majorHAnsi"/>
      <w:b w:val="0"/>
      <w:bCs/>
      <w:i w:val="0"/>
      <w:color w:val="969696"/>
      <w:sz w:val="20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Open Sans" w:asciiTheme="majorHAnsi" w:cs="Open Sans" w:cstheme="majorBidi" w:eastAsia="Open Sans" w:eastAsiaTheme="majorEastAsia" w:hAnsi="Open Sans" w:hAnsiTheme="majorHAnsi"/>
      <w:b w:val="0"/>
      <w:bCs/>
      <w:i w:val="0"/>
      <w:color w:val="969696"/>
      <w:sz w:val="20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Open Sans" w:asciiTheme="majorHAnsi" w:cs="Open Sans" w:cstheme="majorBidi" w:eastAsia="Open Sans" w:eastAsiaTheme="majorEastAsia" w:hAnsi="Open Sans" w:hAnsiTheme="majorHAnsi"/>
      <w:b w:val="0"/>
      <w:bCs/>
      <w:i w:val="0"/>
      <w:color w:val="969696"/>
      <w:sz w:val="20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360" w:before="720" w:line="252" w:lineRule="auto"/>
      <w:contextualSpacing/>
    </w:pPr>
    <w:rPr>
      <w:rFonts w:ascii="Open Sans" w:asciiTheme="majorHAnsi" w:cs="Open Sans" w:cstheme="majorBidi" w:eastAsia="Open Sans" w:eastAsiaTheme="majorEastAsia" w:hAnsi="Open Sans" w:hAnsiTheme="majorHAnsi"/>
      <w:b/>
      <w:i w:val="0"/>
      <w:color w:val="78411E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Open Sans" w:asciiTheme="majorHAnsi" w:cs="Open Sans" w:cstheme="majorBidi" w:eastAsia="Open Sans" w:eastAsiaTheme="majorEastAsia" w:hAnsi="Open Sans" w:hAnsiTheme="majorHAnsi"/>
      <w:b w:val="0"/>
      <w:i w:val="0"/>
      <w:iCs/>
      <w:color w:val="969696"/>
      <w:spacing w:val="15"/>
      <w:sz w:val="2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Open Sans" w:asciiTheme="majorHAnsi" w:cs="Open Sans" w:cstheme="majorBidi" w:eastAsia="Open Sans" w:eastAsiaTheme="majorEastAsia" w:hAnsi="Open Sans" w:hAnsiTheme="majorHAnsi"/>
      <w:b w:val="0"/>
      <w:i w:val="0"/>
      <w:iCs/>
      <w:color w:val="969696"/>
      <w:spacing w:val="15"/>
      <w:sz w:val="20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60" w:before="0" w:line="276" w:lineRule="auto"/>
      <w:jc w:val="both"/>
    </w:pPr>
    <w:rPr>
      <w:rFonts w:ascii="Segoe UI" w:cs="Segoe UI" w:eastAsia="Segoe UI" w:hAnsi="Segoe UI"/>
      <w:b w:val="0"/>
      <w:i w:val="0"/>
      <w:color w:val="282828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Open Sans" w:asciiTheme="majorHAnsi" w:cs="Open Sans" w:cstheme="majorBidi" w:eastAsia="Open Sans" w:eastAsiaTheme="majorEastAsia" w:hAnsi="Open Sans" w:hAnsiTheme="majorHAnsi"/>
      <w:b w:val="0"/>
      <w:bCs/>
      <w:i w:val="0"/>
      <w:iCs/>
      <w:color w:val="969696"/>
      <w:sz w:val="2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Open Sans" w:asciiTheme="majorHAnsi" w:cs="Open Sans" w:cstheme="majorBidi" w:eastAsia="Open Sans" w:eastAsiaTheme="majorEastAsia" w:hAnsi="Open Sans" w:hAnsiTheme="majorHAnsi"/>
      <w:b w:val="0"/>
      <w:i w:val="0"/>
      <w:color w:val="969696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Open Sans" w:asciiTheme="majorHAnsi" w:cs="Open Sans" w:cstheme="majorBidi" w:eastAsia="Open Sans" w:eastAsiaTheme="majorEastAsia" w:hAnsi="Open Sans" w:hAnsiTheme="majorHAnsi"/>
      <w:b w:val="0"/>
      <w:i w:val="0"/>
      <w:iCs/>
      <w:color w:val="969696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Open Sans" w:asciiTheme="majorHAnsi" w:cs="Open Sans" w:cstheme="majorBidi" w:eastAsia="Open Sans" w:eastAsiaTheme="majorEastAsia" w:hAnsi="Open Sans" w:hAnsiTheme="majorHAnsi"/>
      <w:b w:val="0"/>
      <w:i w:val="0"/>
      <w:iCs/>
      <w:color w:val="969696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Open Sans" w:asciiTheme="majorHAnsi" w:cs="Open Sans" w:cstheme="majorBidi" w:eastAsia="Open Sans" w:eastAsiaTheme="majorEastAsia" w:hAnsi="Open Sans" w:hAnsiTheme="majorHAnsi"/>
      <w:b w:val="0"/>
      <w:i w:val="0"/>
      <w:color w:val="969696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0" w:line="240" w:lineRule="auto"/>
      <w:jc w:val="center"/>
    </w:pPr>
    <w:rPr>
      <w:rFonts w:ascii="Open Sans" w:cs="Open Sans" w:eastAsia="Open Sans" w:hAnsi="Open Sans"/>
      <w:b w:val="0"/>
      <w:bCs/>
      <w:i/>
      <w:color w:val="8C735A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Open Sans" w:cs="Open Sans" w:eastAsia="Open Sans" w:hAnsi="Open Sans"/>
      <w:b w:val="0"/>
      <w:bCs/>
      <w:i w:val="0"/>
      <w:iCs/>
      <w:color w:val="969696"/>
      <w:sz w:val="20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Open Sans" w:cs="Open Sans" w:eastAsia="Open Sans" w:hAnsi="Open Sans"/>
      <w:b w:val="0"/>
      <w:bCs/>
      <w:i w:val="0"/>
      <w:iCs/>
      <w:color w:val="969696"/>
      <w:sz w:val="20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Open Sans" w:cs="Open Sans" w:eastAsia="Open Sans" w:hAnsi="Open Sans"/>
      <w:b w:val="0"/>
      <w:bCs/>
      <w:i w:val="0"/>
      <w:iCs/>
      <w:color w:val="969696"/>
      <w:sz w:val="20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 w:bidi="0">
      <w:spacing w:after="240" w:before="240" w:line="240" w:lineRule="auto"/>
      <w:ind w:left="227"/>
      <w:shd w:color="auto" w:fill="333333" w:val="clear"/>
      <w:pBdr>
        <w:left w:color="C8823C" w:space="6" w:sz="8" w:val="single"/>
      </w:pBdr>
    </w:pPr>
    <w:rPr>
      <w:rFonts w:ascii="Consolas" w:cs="Consolas" w:eastAsia="Consolas" w:hAnsi="Consolas"/>
      <w:b w:val="0"/>
      <w:i w:val="0"/>
      <w:color w:val="D4D4D4"/>
      <w:sz w:val="18"/>
    </w:rPr>
  </w:style>
  <w:style w:customStyle="1" w:styleId="CaptionedFigure" w:type="paragraph">
    <w:name w:val="CaptionedFigure"/>
    <w:pPr>
      <w:spacing w:after="0" w:before="0" w:line="276" w:lineRule="auto"/>
      <w:jc w:val="center"/>
    </w:pPr>
    <w:rPr>
      <w:rFonts w:ascii="Segoe UI" w:cs="Segoe UI" w:eastAsia="Segoe UI" w:hAnsi="Segoe UI"/>
      <w:b w:val="0"/>
      <w:i w:val="0"/>
      <w:color w:val="282828"/>
      <w:sz w:val="21"/>
    </w:rPr>
  </w:style>
  <w:style w:customStyle="1" w:styleId="ImageCaption" w:type="paragraph">
    <w:name w:val="ImageCaption"/>
    <w:pPr>
      <w:spacing w:after="160" w:before="0" w:line="240" w:lineRule="auto"/>
      <w:jc w:val="center"/>
    </w:pPr>
    <w:rPr>
      <w:rFonts w:ascii="Open Sans" w:cs="Open Sans" w:eastAsia="Open Sans" w:hAnsi="Open Sans"/>
      <w:b/>
      <w:i w:val="0"/>
      <w:color w:val="8C735A"/>
      <w:sz w:val="18"/>
    </w:rPr>
  </w:style>
  <w:style w:customStyle="1" w:styleId="BookBody" w:type="paragraph">
    <w:name w:val="BookBody"/>
    <w:pPr>
      <w:spacing w:after="60" w:before="0" w:line="276" w:lineRule="auto"/>
      <w:jc w:val="both"/>
    </w:pPr>
    <w:rPr>
      <w:rFonts w:ascii="Segoe UI" w:cs="Segoe UI" w:eastAsia="Segoe UI" w:hAnsi="Segoe UI"/>
      <w:b w:val="0"/>
      <w:i w:val="0"/>
      <w:color w:val="282828"/>
      <w:sz w:val="21"/>
    </w:rPr>
  </w:style>
  <w:style w:customStyle="1" w:styleId="BookHeading1" w:type="paragraph">
    <w:name w:val="BookHeading1"/>
    <w:pPr>
      <w:keepNext/>
      <w:spacing w:after="360" w:before="720" w:line="252" w:lineRule="auto"/>
    </w:pPr>
    <w:rPr>
      <w:rFonts w:ascii="Open Sans" w:cs="Open Sans" w:eastAsia="Open Sans" w:hAnsi="Open Sans"/>
      <w:b/>
      <w:i w:val="0"/>
      <w:color w:val="78411E"/>
      <w:sz w:val="48"/>
    </w:rPr>
  </w:style>
  <w:style w:customStyle="1" w:styleId="BookHeading2" w:type="paragraph">
    <w:name w:val="BookHeading2"/>
    <w:pPr>
      <w:keepNext/>
      <w:spacing w:after="200" w:before="480" w:line="264" w:lineRule="auto"/>
    </w:pPr>
    <w:rPr>
      <w:rFonts w:ascii="Open Sans" w:cs="Open Sans" w:eastAsia="Open Sans" w:hAnsi="Open Sans"/>
      <w:b/>
      <w:i w:val="0"/>
      <w:color w:val="282828"/>
      <w:sz w:val="32"/>
    </w:rPr>
  </w:style>
  <w:style w:customStyle="1" w:styleId="BookHeading3" w:type="paragraph">
    <w:name w:val="BookHeading3"/>
    <w:pPr>
      <w:keepNext/>
      <w:spacing w:after="120" w:before="360" w:line="264" w:lineRule="auto"/>
    </w:pPr>
    <w:rPr>
      <w:rFonts w:ascii="Open Sans" w:cs="Open Sans" w:eastAsia="Open Sans" w:hAnsi="Open Sans"/>
      <w:b/>
      <w:i w:val="0"/>
      <w:color w:val="505050"/>
      <w:sz w:val="26"/>
    </w:rPr>
  </w:style>
  <w:style w:customStyle="1" w:styleId="BookCode" w:type="paragraph">
    <w:name w:val="BookCode"/>
    <w:pPr w:bidi="0">
      <w:spacing w:after="240" w:before="240" w:line="240" w:lineRule="auto"/>
      <w:ind w:left="227"/>
      <w:shd w:color="auto" w:fill="333333" w:val="clear"/>
      <w:pBdr>
        <w:left w:color="C8823C" w:space="6" w:sz="8" w:val="single"/>
      </w:pBdr>
    </w:pPr>
    <w:rPr>
      <w:rFonts w:ascii="Consolas" w:cs="Consolas" w:eastAsia="Consolas" w:hAnsi="Consolas"/>
      <w:b w:val="0"/>
      <w:i w:val="0"/>
      <w:color w:val="D4D4D4"/>
      <w:sz w:val="18"/>
    </w:rPr>
  </w:style>
  <w:style w:customStyle="1" w:styleId="BookQuote" w:type="paragraph">
    <w:name w:val="BookQuote"/>
    <w:pPr>
      <w:spacing w:after="160" w:before="160" w:line="264" w:lineRule="auto"/>
      <w:ind w:left="680" w:right="680"/>
      <w:pBdr>
        <w:left w:color="78411E" w:space="6" w:sz="10" w:val="single"/>
      </w:pBdr>
      <w:shd w:color="auto" w:fill="F5F2F0" w:val="clear"/>
    </w:pPr>
    <w:rPr>
      <w:rFonts w:ascii="Segoe UI" w:cs="Segoe UI" w:eastAsia="Segoe UI" w:hAnsi="Segoe UI"/>
      <w:b w:val="0"/>
      <w:i/>
      <w:color w:val="505050"/>
      <w:sz w:val="21"/>
    </w:rPr>
  </w:style>
  <w:style w:customStyle="1" w:styleId="BookTable" w:type="table">
    <w:name w:val="BookTable"/>
    <w:rPr>
      <w:rFonts w:ascii="Segoe UI" w:cs="Segoe UI" w:eastAsia="Segoe UI" w:hAnsi="Segoe UI"/>
      <w:b w:val="0"/>
      <w:i w:val="0"/>
      <w:color w:val="282828"/>
      <w:sz w:val="18"/>
    </w:rPr>
    <w:tblPr>
      <w:tblBorders>
        <w:top w:color="78411E" w:space="0" w:sz="6" w:val="single"/>
        <w:bottom w:color="78411E" w:space="0" w:sz="6" w:val="single"/>
        <w:insideH w:color="C8B8A8" w:space="0" w:sz="4" w:val="single"/>
      </w:tblBorders>
    </w:tblPr>
  </w:style>
  <w:style w:customStyle="1" w:styleId="BookCaption" w:type="paragraph">
    <w:name w:val="BookCaption"/>
    <w:pPr>
      <w:spacing w:after="160" w:before="0" w:line="240" w:lineRule="auto"/>
      <w:jc w:val="center"/>
    </w:pPr>
    <w:rPr>
      <w:rFonts w:ascii="Open Sans" w:cs="Open Sans" w:eastAsia="Open Sans" w:hAnsi="Open Sans"/>
      <w:b w:val="0"/>
      <w:i/>
      <w:color w:val="8C735A"/>
      <w:sz w:val="18"/>
    </w:rPr>
  </w:style>
  <w:style w:customStyle="1" w:styleId="BookInlineCode" w:type="character">
    <w:name w:val="BookInlineCode"/>
    <w:rPr w:rtl="0">
      <w:rFonts w:ascii="Consolas" w:cs="Consolas" w:eastAsia="Consolas" w:hAnsi="Consolas"/>
      <w:b w:val="0"/>
      <w:i w:val="0"/>
      <w:color w:val="C8823C"/>
      <w:sz w:val="18"/>
    </w:rPr>
  </w:style>
  <w:style w:customStyle="1" w:styleId="BookDate" w:type="paragraph">
    <w:name w:val="BookDate"/>
    <w:pPr>
      <w:spacing w:after="720" w:before="0" w:line="276" w:lineRule="auto"/>
      <w:jc w:val="center"/>
    </w:pPr>
    <w:rPr>
      <w:rFonts w:ascii="Segoe UI" w:cs="Segoe UI" w:eastAsia="Segoe UI" w:hAnsi="Segoe UI"/>
      <w:b w:val="0"/>
      <w:i/>
      <w:color w:val="969696"/>
      <w:sz w:val="21"/>
    </w:rPr>
  </w:style>
  <w:style w:customStyle="1" w:styleId="BookImageCaption" w:type="paragraph">
    <w:name w:val="BookImageCaption"/>
    <w:pPr>
      <w:spacing w:after="240" w:before="120" w:line="240" w:lineRule="auto"/>
      <w:jc w:val="center"/>
    </w:pPr>
    <w:rPr>
      <w:rFonts w:ascii="Open Sans" w:cs="Open Sans" w:eastAsia="Open Sans" w:hAnsi="Open Sans"/>
      <w:b w:val="0"/>
      <w:i/>
      <w:color w:val="8C735A"/>
      <w:sz w:val="18"/>
    </w:rPr>
  </w:style>
  <w:style w:customStyle="1" w:styleId="BookTOC1" w:type="paragraph">
    <w:name w:val="BookTOC1"/>
    <w:pPr>
      <w:spacing w:after="40" w:before="120" w:line="312" w:lineRule="auto"/>
    </w:pPr>
    <w:rPr>
      <w:rFonts w:ascii="Open Sans" w:cs="Open Sans" w:eastAsia="Open Sans" w:hAnsi="Open Sans"/>
      <w:b/>
      <w:i w:val="0"/>
      <w:color w:val="282828"/>
      <w:sz w:val="24"/>
    </w:rPr>
  </w:style>
  <w:style w:customStyle="1" w:styleId="BookTOC2" w:type="paragraph">
    <w:name w:val="BookTOC2"/>
    <w:pPr>
      <w:spacing w:after="40" w:before="40" w:line="288" w:lineRule="auto"/>
      <w:ind w:left="850"/>
    </w:pPr>
    <w:rPr>
      <w:rFonts w:ascii="Open Sans" w:cs="Open Sans" w:eastAsia="Open Sans" w:hAnsi="Open Sans"/>
      <w:b w:val="0"/>
      <w:i w:val="0"/>
      <w:color w:val="282828"/>
      <w:sz w:val="22"/>
    </w:rPr>
  </w:style>
  <w:style w:customStyle="1" w:styleId="BookTOC3" w:type="paragraph">
    <w:name w:val="BookTOC3"/>
    <w:pPr>
      <w:spacing w:after="20" w:before="20" w:line="288" w:lineRule="auto"/>
      <w:ind w:left="1701"/>
    </w:pPr>
    <w:rPr>
      <w:rFonts w:ascii="Open Sans" w:cs="Open Sans" w:eastAsia="Open Sans" w:hAnsi="Open Sans"/>
      <w:b w:val="0"/>
      <w:i w:val="0"/>
      <w:color w:val="505050"/>
      <w:sz w:val="20"/>
    </w:rPr>
  </w:style>
  <w:style w:type="character" w:customStyle="1" w:styleId="KeywordTok">
    <w:name w:val="KeywordTok"/>
    <w:basedOn w:val="VerbatimChar"/>
    <w:rPr>
      <w:b/>
      <w:color w:val="f92672"/>
    </w:rPr>
  </w:style>
  <w:style w:type="character" w:customStyle="1" w:styleId="DataTypeTok">
    <w:name w:val="DataTypeTok"/>
    <w:basedOn w:val="VerbatimChar"/>
    <w:rPr>
      <w:color w:val="a6e22e"/>
    </w:rPr>
  </w:style>
  <w:style w:type="character" w:customStyle="1" w:styleId="DecValTok">
    <w:name w:val="DecValTok"/>
    <w:basedOn w:val="VerbatimChar"/>
    <w:rPr>
      <w:color w:val="ae81ff"/>
    </w:rPr>
  </w:style>
  <w:style w:type="character" w:customStyle="1" w:styleId="BaseNTok">
    <w:name w:val="BaseNTok"/>
    <w:basedOn w:val="VerbatimChar"/>
    <w:rPr>
      <w:color w:val="ae81ff"/>
    </w:rPr>
  </w:style>
  <w:style w:type="character" w:customStyle="1" w:styleId="FloatTok">
    <w:name w:val="FloatTok"/>
    <w:basedOn w:val="VerbatimChar"/>
    <w:rPr>
      <w:color w:val="ae81ff"/>
    </w:rPr>
  </w:style>
  <w:style w:type="character" w:customStyle="1" w:styleId="ConstantTok">
    <w:name w:val="ConstantTok"/>
    <w:basedOn w:val="VerbatimChar"/>
    <w:rPr>
      <w:b/>
      <w:color w:val="ae81ff"/>
    </w:rPr>
  </w:style>
  <w:style w:type="character" w:customStyle="1" w:styleId="CharTok">
    <w:name w:val="CharTok"/>
    <w:basedOn w:val="VerbatimChar"/>
    <w:rPr>
      <w:color w:val="e6db74"/>
    </w:rPr>
  </w:style>
  <w:style w:type="character" w:customStyle="1" w:styleId="SpecialCharTok">
    <w:name w:val="SpecialCharTok"/>
    <w:basedOn w:val="VerbatimChar"/>
    <w:rPr>
      <w:color w:val="e6db74"/>
    </w:rPr>
  </w:style>
  <w:style w:type="character" w:customStyle="1" w:styleId="StringTok">
    <w:name w:val="StringTok"/>
    <w:basedOn w:val="VerbatimChar"/>
    <w:rPr>
      <w:color w:val="e6db74"/>
    </w:rPr>
  </w:style>
  <w:style w:type="character" w:customStyle="1" w:styleId="VerbatimStringTok">
    <w:name w:val="VerbatimStringTok"/>
    <w:basedOn w:val="VerbatimChar"/>
    <w:rPr>
      <w:color w:val="e6db74"/>
    </w:rPr>
  </w:style>
  <w:style w:type="character" w:customStyle="1" w:styleId="SpecialStringTok">
    <w:name w:val="SpecialStringTok"/>
    <w:basedOn w:val="VerbatimChar"/>
    <w:rPr>
      <w:color w:val="e6db74"/>
    </w:rPr>
  </w:style>
  <w:style w:type="character" w:customStyle="1" w:styleId="ImportTok">
    <w:name w:val="ImportTok"/>
    <w:basedOn w:val="VerbatimChar"/>
    <w:rPr>
      <w:color w:val="a6e22e"/>
    </w:rPr>
  </w:style>
  <w:style w:type="character" w:customStyle="1" w:styleId="CommentTok">
    <w:name w:val="CommentTok"/>
    <w:basedOn w:val="VerbatimChar"/>
    <w:rPr>
      <w:color w:val="88846f"/>
    </w:rPr>
  </w:style>
  <w:style w:type="character" w:customStyle="1" w:styleId="DocumentationTok">
    <w:name w:val="DocumentationTok"/>
    <w:basedOn w:val="VerbatimChar"/>
    <w:rPr>
      <w:color w:val="88846f"/>
    </w:rPr>
  </w:style>
  <w:style w:type="character" w:customStyle="1" w:styleId="AnnotationTok">
    <w:name w:val="AnnotationTok"/>
    <w:basedOn w:val="VerbatimChar"/>
    <w:rPr>
      <w:color w:val="88846f"/>
    </w:rPr>
  </w:style>
  <w:style w:type="character" w:customStyle="1" w:styleId="CommentVarTok">
    <w:name w:val="CommentVarTok"/>
    <w:basedOn w:val="VerbatimChar"/>
    <w:rPr>
      <w:color w:val="88846f"/>
    </w:rPr>
  </w:style>
  <w:style w:type="character" w:customStyle="1" w:styleId="OtherTok">
    <w:name w:val="OtherTok"/>
    <w:basedOn w:val="VerbatimChar"/>
    <w:rPr>
      <w:color w:val="a6e22e"/>
    </w:rPr>
  </w:style>
  <w:style w:type="character" w:customStyle="1" w:styleId="FunctionTok">
    <w:name w:val="FunctionTok"/>
    <w:basedOn w:val="VerbatimChar"/>
    <w:rPr>
      <w:color w:val="a6e22e"/>
    </w:rPr>
  </w:style>
  <w:style w:type="character" w:customStyle="1" w:styleId="VariableTok">
    <w:name w:val="VariableTok"/>
    <w:basedOn w:val="VerbatimChar"/>
    <w:rPr>
      <w:color w:val="fd971f"/>
    </w:rPr>
  </w:style>
  <w:style w:type="character" w:customStyle="1" w:styleId="ControlFlowTok">
    <w:name w:val="ControlFlowTok"/>
    <w:basedOn w:val="VerbatimChar"/>
    <w:rPr>
      <w:b/>
      <w:color w:val="f92672"/>
    </w:rPr>
  </w:style>
  <w:style w:type="character" w:customStyle="1" w:styleId="OperatorTok">
    <w:name w:val="OperatorTok"/>
    <w:basedOn w:val="VerbatimChar"/>
    <w:rPr>
      <w:color w:val="f92672"/>
    </w:rPr>
  </w:style>
  <w:style w:type="character" w:customStyle="1" w:styleId="BuiltInTok">
    <w:name w:val="BuiltInTok"/>
    <w:basedOn w:val="VerbatimChar"/>
    <w:rPr>
      <w:color w:val="a6e22e"/>
    </w:rPr>
  </w:style>
  <w:style w:type="character" w:customStyle="1" w:styleId="ExtensionTok">
    <w:name w:val="ExtensionTok"/>
    <w:basedOn w:val="VerbatimChar"/>
    <w:rPr>
      <w:b/>
      <w:color w:val="a6e22e"/>
    </w:rPr>
  </w:style>
  <w:style w:type="character" w:customStyle="1" w:styleId="PreprocessorTok">
    <w:name w:val="PreprocessorTok"/>
    <w:basedOn w:val="VerbatimChar"/>
    <w:rPr>
      <w:color w:val="fd971f"/>
    </w:rPr>
  </w:style>
  <w:style w:type="character" w:customStyle="1" w:styleId="AttributeTok">
    <w:name w:val="AttributeTok"/>
    <w:basedOn w:val="VerbatimChar"/>
    <w:rPr>
      <w:color w:val="fd971f"/>
    </w:rPr>
  </w:style>
  <w:style w:type="character" w:customStyle="1" w:styleId="RegionMarkerTok">
    <w:name w:val="RegionMarkerTok"/>
    <w:basedOn w:val="VerbatimChar"/>
    <w:rPr>
      <w:color w:val="75715e"/>
    </w:rPr>
  </w:style>
  <w:style w:type="character" w:customStyle="1" w:styleId="InformationTok">
    <w:name w:val="InformationTok"/>
    <w:basedOn w:val="VerbatimChar"/>
    <w:rPr>
      <w:color w:val="88846f"/>
    </w:rPr>
  </w:style>
  <w:style w:type="character" w:customStyle="1" w:styleId="WarningTok">
    <w:name w:val="WarningTok"/>
    <w:basedOn w:val="VerbatimChar"/>
    <w:rPr>
      <w:color w:val="f44747"/>
    </w:rPr>
  </w:style>
  <w:style w:type="character" w:customStyle="1" w:styleId="AlertTok">
    <w:name w:val="AlertTok"/>
    <w:basedOn w:val="VerbatimChar"/>
    <w:rPr>
      <w:b/>
      <w:color w:val="f44747"/>
    </w:rPr>
  </w:style>
  <w:style w:type="character" w:customStyle="1" w:styleId="ErrorTok">
    <w:name w:val="ErrorTok"/>
    <w:basedOn w:val="VerbatimChar"/>
    <w:rPr>
      <w:color w:val="f44747"/>
      <w:u/>
    </w:rPr>
  </w:style>
  <w:style w:type="character" w:customStyle="1" w:styleId="NormalTok">
    <w:name w:val="NormalTok"/>
    <w:basedOn w:val="VerbatimChar"/>
    <w:rPr>
      <w:color w:val="cfcfc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22" Type="http://schemas.openxmlformats.org/officeDocument/2006/relationships/image" Target="media/rId22.png"/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AI-Assisted Professional Engineering with .NET</dc:title>
  <dc:creator/>
  <cp:keywords/>
  <dcterms:created xsi:type="dcterms:W3CDTF">2026-10-08T11:20:12Z</dcterms:created>
  <dcterms:modified xsi:type="dcterms:W3CDTF">2026-10-08T11:20:12Z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