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40" w:lineRule="auto"/>
        <w:jc w:val="center"/>
        <w:sectPr>
          <w:pgSz w:w="11906" w:h="16838"/>
          <w:pgMar w:top="0" w:right="0" w:bottom="0" w:left="0" w:header="0" w:footer="0" w:gutter="0"/>
        </w:sectPr>
      </w:pPr>
      <w:r>
        <w:drawing>
          <wp:inline>
            <wp:extent cx="7560000" cy="1069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-cover.jp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AI-Assisted Professional Engineering with .NET</w:t>
      </w:r>
    </w:p>
    <w:bookmarkStart w:id="32" w:name="X2e11fb6113120e8af8631c5e2e53242e7aa1466"/>
    <w:p>
      <w:pPr>
        <w:pStyle w:val="Heading1"/>
      </w:pPr>
      <w:r>
        <w:t xml:space="preserve">Section 01 — What an LLM Actually Does: Tokens, Embeddings, Context, and Inference</w:t>
      </w:r>
    </w:p>
    <w:bookmarkStart w:id="21" w:name="the-mechanism-behind-the-interface"/>
    <w:p>
      <w:pPr>
        <w:pStyle w:val="Heading2"/>
      </w:pPr>
      <w:r>
        <w:t xml:space="preserve">The Mechanism Behind the Interface</w:t>
      </w:r>
    </w:p>
    <w:p>
      <w:pPr>
        <w:pStyle w:val="FirstParagraph"/>
      </w:pPr>
      <w:r>
        <w:t xml:space="preserve">A large language model produces every token in its output through a single repeated operation: given a sequence of numbers representing the text so far, produce a probability distribution over what number is most likely to come next, sample one number from that distribution, append it to the sequence, and repeat. This is the entire generative process — there is no separate planning step, no internal representation of the problem, no retrieval from a knowledge base. Everything else — the appearance of reasoning, the fluency, the architectural vocabulary, the code that compiles — is what this process produces when the numbers represent language and the model producing the distribution has been trained on an enormous corpus of human text.</w:t>
      </w:r>
    </w:p>
    <w:p>
      <w:pPr>
        <w:pStyle w:val="BodyText"/>
      </w:pPr>
      <w:r>
        <w:t xml:space="preserve">A .NET engineer interacting with this system for the first time encounters something deceptively familiar: a request goes out, a response comes back, and the response is text — often syntactically valid C#, often structurally sound architectural reasoning, often phrased with the same register a senior colleague would use in a design review. Every instinct built over a career of working with deterministic systems suggests that there must be something underneath producing this output in a way that parallels how a service produces a response: some internal representation of the problem, some retrieval of relevant facts, some process that resembles thinking. But the actual mechanism is fundamentally different — and understanding it precisely is the subject of this section.</w:t>
      </w:r>
    </w:p>
    <w:p>
      <w:pPr>
        <w:pStyle w:val="BodyText"/>
      </w:pPr>
      <w:r>
        <w:t xml:space="preserve">This section builds that mechanism from the ground up, using vocabulary and framing that maps onto concepts a .NET engineer already has working intuitions for: serialization, lookup tables, fixed-size buffers, and function calls. The goal is not mathematical completeness — it is a mental model precise enough that the behaviours described in the rest of this chapter stop looking like quirks and start looking like direct, predictable consequences of how the system works.</w:t>
      </w:r>
    </w:p>
    <w:bookmarkEnd w:id="21"/>
    <w:bookmarkStart w:id="25" w:name="tokens-the-unit-of-everything"/>
    <w:p>
      <w:pPr>
        <w:pStyle w:val="Heading2"/>
      </w:pPr>
      <w:r>
        <w:t xml:space="preserve">Tokens: The Unit of Everything</w:t>
      </w:r>
    </w:p>
    <w:p>
      <w:pPr>
        <w:pStyle w:val="FirstParagraph"/>
      </w:pPr>
      <w:r>
        <w:t xml:space="preserve">Before a language model can do anything with text, the text must be</w:t>
      </w:r>
      <w:r>
        <w:t xml:space="preserve"> </w:t>
      </w:r>
      <w:r>
        <w:t xml:space="preserve">converted into a sequence of integers. This conversion is performed by a</w:t>
      </w:r>
      <w:r>
        <w:t xml:space="preserve"> </w:t>
      </w:r>
      <w:r>
        <w:t xml:space="preserve">tokenizer, and the integers it produces are called tokens. A token is not</w:t>
      </w:r>
      <w:r>
        <w:t xml:space="preserve"> </w:t>
      </w:r>
      <w:r>
        <w:t xml:space="preserve">necessarily a word. Common words are often a single token. Less common</w:t>
      </w:r>
      <w:r>
        <w:t xml:space="preserve"> </w:t>
      </w:r>
      <w:r>
        <w:t xml:space="preserve">words are split into multiple tokens — prefixes, suffixes, and word</w:t>
      </w:r>
      <w:r>
        <w:t xml:space="preserve"> </w:t>
      </w:r>
      <w:r>
        <w:t xml:space="preserve">fragments that recur often enough across the training corpus to have earned</w:t>
      </w:r>
      <w:r>
        <w:t xml:space="preserve"> </w:t>
      </w:r>
      <w:r>
        <w:t xml:space="preserve">their own entry in the tokenizer’s vocabulary. Punctuation, whitespace, and</w:t>
      </w:r>
      <w:r>
        <w:t xml:space="preserve"> </w:t>
      </w:r>
      <w:r>
        <w:t xml:space="preserve">even parts of common code patterns each have their own token identities.</w:t>
      </w:r>
    </w:p>
    <w:p>
      <w:pPr>
        <w:pStyle w:val="BodyText"/>
      </w:pPr>
      <w:r>
        <w:t xml:space="preserve">For a .NET engineer, the closest intuition is a dictionary-based compression</w:t>
      </w:r>
      <w:r>
        <w:t xml:space="preserve"> </w:t>
      </w:r>
      <w:r>
        <w:t xml:space="preserve">scheme: the tokenizer maintains a fixed vocabulary — typically on the order</w:t>
      </w:r>
      <w:r>
        <w:t xml:space="preserve"> </w:t>
      </w:r>
      <w:r>
        <w:t xml:space="preserve">of 50,000 to 200,000 entries depending on the model family — and every piece</w:t>
      </w:r>
      <w:r>
        <w:t xml:space="preserve"> </w:t>
      </w:r>
      <w:r>
        <w:t xml:space="preserve">of input text is encoded as a sequence of indices into that vocabulary. The</w:t>
      </w:r>
      <w:r>
        <w:t xml:space="preserve"> </w:t>
      </w:r>
      <w:r>
        <w:t xml:space="preserve">word</w:t>
      </w:r>
      <w:r>
        <w:t xml:space="preserve"> </w:t>
      </w:r>
      <w:r>
        <w:rPr>
          <w:rStyle w:val="VerbatimChar"/>
        </w:rPr>
        <w:t xml:space="preserve">"CancellationToken"</w:t>
      </w:r>
      <w:r>
        <w:t xml:space="preserve"> </w:t>
      </w:r>
      <w:r>
        <w:t xml:space="preserve">might be a single token in a vocabulary trained</w:t>
      </w:r>
      <w:r>
        <w:t xml:space="preserve"> </w:t>
      </w:r>
      <w:r>
        <w:t xml:space="preserve">heavily on code, because the sequence of characters</w:t>
      </w:r>
      <w:r>
        <w:t xml:space="preserve"> </w:t>
      </w:r>
      <w:r>
        <w:rPr>
          <w:rStyle w:val="VerbatimChar"/>
        </w:rPr>
        <w:t xml:space="preserve">CancellationToken</w:t>
      </w:r>
      <w:r>
        <w:t xml:space="preserve"> </w:t>
      </w:r>
      <w:r>
        <w:t xml:space="preserve">appears often enough in the training data that the tokenizer’s construction</w:t>
      </w:r>
      <w:r>
        <w:t xml:space="preserve"> </w:t>
      </w:r>
      <w:r>
        <w:t xml:space="preserve">process — typically a variant of byte-pair encoding — merged it into one</w:t>
      </w:r>
      <w:r>
        <w:t xml:space="preserve"> </w:t>
      </w:r>
      <w:r>
        <w:t xml:space="preserve">unit. A less common identifier, say</w:t>
      </w:r>
      <w:r>
        <w:t xml:space="preserve"> </w:t>
      </w:r>
      <w:r>
        <w:rPr>
          <w:rStyle w:val="VerbatimChar"/>
        </w:rPr>
        <w:t xml:space="preserve">"IIdempotencyKeyGenerator"</w:t>
      </w:r>
      <w:r>
        <w:t xml:space="preserve">, is more</w:t>
      </w:r>
      <w:r>
        <w:t xml:space="preserve"> </w:t>
      </w:r>
      <w:r>
        <w:t xml:space="preserve">likely to be split into several tokens: perhaps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Idem</w:t>
      </w:r>
      <w:r>
        <w:t xml:space="preserve">,</w:t>
      </w:r>
      <w:r>
        <w:t xml:space="preserve"> </w:t>
      </w:r>
      <w:r>
        <w:rPr>
          <w:rStyle w:val="VerbatimChar"/>
        </w:rPr>
        <w:t xml:space="preserve">potency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Key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Generator</w:t>
      </w:r>
      <w:r>
        <w:t xml:space="preserve">, each a fragment that recurred often enough on its own to</w:t>
      </w:r>
      <w:r>
        <w:t xml:space="preserve"> </w:t>
      </w:r>
      <w:r>
        <w:t xml:space="preserve">warrant a vocabulary entry, even though the full identifier did not.</w:t>
      </w:r>
    </w:p>
    <w:p>
      <w:pPr>
        <w:pStyle w:val="BodyText"/>
      </w:pPr>
      <w:r>
        <w:t xml:space="preserve">This has a direct, measurable consequence that engineers building</w:t>
      </w:r>
      <w:r>
        <w:t xml:space="preserve"> </w:t>
      </w:r>
      <w:r>
        <w:t xml:space="preserve">AI-integrated .NET systems encounter immediately: cost and context</w:t>
      </w:r>
      <w:r>
        <w:t xml:space="preserve"> </w:t>
      </w:r>
      <w:r>
        <w:t xml:space="preserve">consumption are measured in tokens, not words or characters, and the</w:t>
      </w:r>
      <w:r>
        <w:t xml:space="preserve"> </w:t>
      </w:r>
      <w:r>
        <w:t xml:space="preserve">relationship between source text and token count is uneven. A block of</w:t>
      </w:r>
      <w:r>
        <w:t xml:space="preserve"> </w:t>
      </w:r>
      <w:r>
        <w:t xml:space="preserve">common English prose might average around four characters per token. A</w:t>
      </w:r>
      <w:r>
        <w:t xml:space="preserve"> </w:t>
      </w:r>
      <w:r>
        <w:t xml:space="preserve">block of C# code dense with project-specific identifiers, GUIDs, or</w:t>
      </w:r>
      <w:r>
        <w:t xml:space="preserve"> </w:t>
      </w:r>
      <w:r>
        <w:t xml:space="preserve">unusual naming conventions can consume substantially more tokens for the</w:t>
      </w:r>
      <w:r>
        <w:t xml:space="preserve"> </w:t>
      </w:r>
      <w:r>
        <w:t xml:space="preserve">same character count, because the tokenizer is forced to fall back to</w:t>
      </w:r>
      <w:r>
        <w:t xml:space="preserve"> </w:t>
      </w:r>
      <w:r>
        <w:t xml:space="preserve">shorter fragments more often. When a .NET service constructs a prompt that</w:t>
      </w:r>
      <w:r>
        <w:t xml:space="preserve"> </w:t>
      </w:r>
      <w:r>
        <w:t xml:space="preserve">embeds a stack trace, a configuration file, or a chunk of legacy code with</w:t>
      </w:r>
      <w:r>
        <w:t xml:space="preserve"> </w:t>
      </w:r>
      <w:r>
        <w:t xml:space="preserve">idiosyncratic naming, the token cost of that context is not something that</w:t>
      </w:r>
      <w:r>
        <w:t xml:space="preserve"> </w:t>
      </w:r>
      <w:r>
        <w:t xml:space="preserve">can be estimated by counting characters and dividing by a constant — it</w:t>
      </w:r>
      <w:r>
        <w:t xml:space="preserve"> </w:t>
      </w:r>
      <w:r>
        <w:t xml:space="preserve">depends on how well the tokenizer’s vocabulary, shaped by its training</w:t>
      </w:r>
      <w:r>
        <w:t xml:space="preserve"> </w:t>
      </w:r>
      <w:r>
        <w:t xml:space="preserve">corpus, happens to match the vocabulary of the text being encoded.</w:t>
      </w:r>
    </w:p>
    <w:p>
      <w:pPr>
        <w:pStyle w:val="CaptionedFigure"/>
      </w:pPr>
      <w:r>
        <w:drawing>
          <wp:inline>
            <wp:extent cx="5892800" cy="420914"/>
            <wp:effectExtent b="0" l="0" r="0" t="0"/>
            <wp:docPr descr="Diagram: dg-f611cff9811c" title="" id="23" name="Picture"/>
            <a:graphic>
              <a:graphicData uri="http://schemas.openxmlformats.org/drawingml/2006/picture">
                <pic:pic>
                  <pic:nvPicPr>
                    <pic:cNvPr descr="exports\diagrams\mermaid\dg-f611cff9811c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420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Diagram: dg-f611cff9811c</w:t>
      </w:r>
    </w:p>
    <w:p>
      <w:pPr>
        <w:pStyle w:val="BodyText"/>
      </w:pPr>
      <w:r>
        <w:t xml:space="preserve">The diagram above is the complete generative loop. Every box matters for</w:t>
      </w:r>
      <w:r>
        <w:t xml:space="preserve"> </w:t>
      </w:r>
      <w:r>
        <w:t xml:space="preserve">the engineering decisions that follow in this chapter, but the loop itself</w:t>
      </w:r>
      <w:r>
        <w:t xml:space="preserve"> </w:t>
      </w:r>
      <w:r>
        <w:t xml:space="preserve">— particularly the feedback arrow from sampling back into the transformer</w:t>
      </w:r>
      <w:r>
        <w:t xml:space="preserve"> </w:t>
      </w:r>
      <w:r>
        <w:t xml:space="preserve">layers — is the single most important structural fact about how these</w:t>
      </w:r>
      <w:r>
        <w:t xml:space="preserve"> </w:t>
      </w:r>
      <w:r>
        <w:t xml:space="preserve">systems operate. The model does not produce a response and then stop to</w:t>
      </w:r>
      <w:r>
        <w:t xml:space="preserve"> </w:t>
      </w:r>
      <w:r>
        <w:t xml:space="preserve">evaluate it. It produces one token, appends that token to its own input, and</w:t>
      </w:r>
      <w:r>
        <w:t xml:space="preserve"> </w:t>
      </w:r>
      <w:r>
        <w:t xml:space="preserve">runs the entire forward pass again. A model generating a five-hundred-token</w:t>
      </w:r>
      <w:r>
        <w:t xml:space="preserve"> </w:t>
      </w:r>
      <w:r>
        <w:t xml:space="preserve">response to an architectural question performs five hundred complete</w:t>
      </w:r>
      <w:r>
        <w:t xml:space="preserve"> </w:t>
      </w:r>
      <w:r>
        <w:t xml:space="preserve">forward passes, each one conditioned on everything generated so far,</w:t>
      </w:r>
      <w:r>
        <w:t xml:space="preserve"> </w:t>
      </w:r>
      <w:r>
        <w:t xml:space="preserve">including its own earlier tokens — whether or not those earlier tokens were</w:t>
      </w:r>
      <w:r>
        <w:t xml:space="preserve"> </w:t>
      </w:r>
      <w:r>
        <w:t xml:space="preserve">correct.</w:t>
      </w:r>
    </w:p>
    <w:bookmarkEnd w:id="25"/>
    <w:bookmarkStart w:id="26" w:name="X3ab0a46ab7425eefe3d81dfc3dde84e5c564379"/>
    <w:p>
      <w:pPr>
        <w:pStyle w:val="Heading2"/>
      </w:pPr>
      <w:r>
        <w:t xml:space="preserve">Embeddings: Where Meaning Lives as Geometry</w:t>
      </w:r>
    </w:p>
    <w:p>
      <w:pPr>
        <w:pStyle w:val="FirstParagraph"/>
      </w:pPr>
      <w:r>
        <w:t xml:space="preserve">Token IDs are arbitrary integers — the specific number assigned to</w:t>
      </w:r>
      <w:r>
        <w:t xml:space="preserve"> </w:t>
      </w:r>
      <w:r>
        <w:rPr>
          <w:rStyle w:val="VerbatimChar"/>
        </w:rPr>
        <w:t xml:space="preserve">CancellationToken</w:t>
      </w:r>
      <w:r>
        <w:t xml:space="preserve"> </w:t>
      </w:r>
      <w:r>
        <w:t xml:space="preserve">carries no inherent meaning beyond its role as a lookup</w:t>
      </w:r>
      <w:r>
        <w:t xml:space="preserve"> </w:t>
      </w:r>
      <w:r>
        <w:t xml:space="preserve">key. The first substantive operation the model performs is to convert each</w:t>
      </w:r>
      <w:r>
        <w:t xml:space="preserve"> </w:t>
      </w:r>
      <w:r>
        <w:t xml:space="preserve">token ID into a vector: a list of floating-point numbers, typically</w:t>
      </w:r>
      <w:r>
        <w:t xml:space="preserve"> </w:t>
      </w:r>
      <w:r>
        <w:t xml:space="preserve">somewhere between several hundred and several thousand elements long</w:t>
      </w:r>
      <w:r>
        <w:t xml:space="preserve"> </w:t>
      </w:r>
      <w:r>
        <w:t xml:space="preserve">depending on the model’s size. This vector is called the token’s embedding,</w:t>
      </w:r>
      <w:r>
        <w:t xml:space="preserve"> </w:t>
      </w:r>
      <w:r>
        <w:t xml:space="preserve">and it is retrieved from a learned lookup table — conceptually similar to a</w:t>
      </w:r>
      <w:r>
        <w:t xml:space="preserve"> </w:t>
      </w:r>
      <w:r>
        <w:rPr>
          <w:rStyle w:val="VerbatimChar"/>
        </w:rPr>
        <w:t xml:space="preserve">Dictionary&lt;int, float[]&gt;</w:t>
      </w:r>
      <w:r>
        <w:t xml:space="preserve"> </w:t>
      </w:r>
      <w:r>
        <w:t xml:space="preserve">where the dictionary itself was produced by</w:t>
      </w:r>
      <w:r>
        <w:t xml:space="preserve"> </w:t>
      </w:r>
      <w:r>
        <w:t xml:space="preserve">training, not configuration.</w:t>
      </w:r>
    </w:p>
    <w:p>
      <w:pPr>
        <w:pStyle w:val="BodyText"/>
      </w:pPr>
      <w:r>
        <w:t xml:space="preserve">The geometry of this vector space is where the model’s</w:t>
      </w:r>
      <w:r>
        <w:t xml:space="preserve"> </w:t>
      </w:r>
      <w:r>
        <w:t xml:space="preserve">“knowledge”</w:t>
      </w:r>
      <w:r>
        <w:t xml:space="preserve"> </w:t>
      </w:r>
      <w:r>
        <w:t xml:space="preserve">of</w:t>
      </w:r>
      <w:r>
        <w:t xml:space="preserve"> </w:t>
      </w:r>
      <w:r>
        <w:t xml:space="preserve">language lives. During training, the embedding for a token is adjusted so</w:t>
      </w:r>
      <w:r>
        <w:t xml:space="preserve"> </w:t>
      </w:r>
      <w:r>
        <w:t xml:space="preserve">that tokens which tend to appear in similar contexts end up with similar</w:t>
      </w:r>
      <w:r>
        <w:t xml:space="preserve"> </w:t>
      </w:r>
      <w:r>
        <w:t xml:space="preserve">vectors — close together in the high-dimensional space the embeddings</w:t>
      </w:r>
      <w:r>
        <w:t xml:space="preserve"> </w:t>
      </w:r>
      <w:r>
        <w:t xml:space="preserve">occupy. This is not a designed property; it falls out of the training</w:t>
      </w:r>
      <w:r>
        <w:t xml:space="preserve"> </w:t>
      </w:r>
      <w:r>
        <w:t xml:space="preserve">objective. A model trained to predict the next token, given enough text,</w:t>
      </w:r>
      <w:r>
        <w:t xml:space="preserve"> </w:t>
      </w:r>
      <w:r>
        <w:t xml:space="preserve">discovers that</w:t>
      </w:r>
      <w:r>
        <w:t xml:space="preserve"> </w:t>
      </w:r>
      <w:r>
        <w:rPr>
          <w:rStyle w:val="VerbatimChar"/>
        </w:rPr>
        <w:t xml:space="preserve">IRepository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IService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IPaymentGateway</w:t>
      </w:r>
      <w:r>
        <w:t xml:space="preserve"> </w:t>
      </w:r>
      <w:r>
        <w:t xml:space="preserve">all tend</w:t>
      </w:r>
      <w:r>
        <w:t xml:space="preserve"> </w:t>
      </w:r>
      <w:r>
        <w:t xml:space="preserve">to appear in similar syntactic positions — after</w:t>
      </w:r>
      <w:r>
        <w:t xml:space="preserve"> </w:t>
      </w:r>
      <w:r>
        <w:rPr>
          <w:rStyle w:val="VerbatimChar"/>
        </w:rPr>
        <w:t xml:space="preserve">private readonly</w:t>
      </w:r>
      <w:r>
        <w:t xml:space="preserve">, before</w:t>
      </w:r>
      <w:r>
        <w:t xml:space="preserve"> </w:t>
      </w:r>
      <w:r>
        <w:t xml:space="preserve">a generic type parameter or a constructor parameter name — and their</w:t>
      </w:r>
      <w:r>
        <w:t xml:space="preserve"> </w:t>
      </w:r>
      <w:r>
        <w:t xml:space="preserve">embeddings drift toward each other in the vector space as a side effect of</w:t>
      </w:r>
      <w:r>
        <w:t xml:space="preserve"> </w:t>
      </w:r>
      <w:r>
        <w:t xml:space="preserve">optimizing for that shared distributional behaviour. The model never</w:t>
      </w:r>
      <w:r>
        <w:t xml:space="preserve"> </w:t>
      </w:r>
      <w:r>
        <w:t xml:space="preserve">receives an explicit instruction that these are all</w:t>
      </w:r>
      <w:r>
        <w:t xml:space="preserve"> </w:t>
      </w:r>
      <w:r>
        <w:t xml:space="preserve">“interface types</w:t>
      </w:r>
      <w:r>
        <w:t xml:space="preserve"> </w:t>
      </w:r>
      <w:r>
        <w:t xml:space="preserve">representing injected dependencies.”</w:t>
      </w:r>
      <w:r>
        <w:t xml:space="preserve"> </w:t>
      </w:r>
      <w:r>
        <w:t xml:space="preserve">It discovers a geometric regularity</w:t>
      </w:r>
      <w:r>
        <w:t xml:space="preserve"> </w:t>
      </w:r>
      <w:r>
        <w:t xml:space="preserve">that happens to correlate with that human concept, because the concept is</w:t>
      </w:r>
      <w:r>
        <w:t xml:space="preserve"> </w:t>
      </w:r>
      <w:r>
        <w:t xml:space="preserve">what produced the regularity in the training data in the first place.</w:t>
      </w:r>
    </w:p>
    <w:p>
      <w:pPr>
        <w:pStyle w:val="BodyText"/>
      </w:pPr>
      <w:r>
        <w:t xml:space="preserve">This matters for an engineering reason that becomes concrete in later</w:t>
      </w:r>
      <w:r>
        <w:t xml:space="preserve"> </w:t>
      </w:r>
      <w:r>
        <w:t xml:space="preserve">sections: when a model generates a suggestion involving an unfamiliar</w:t>
      </w:r>
      <w:r>
        <w:t xml:space="preserve"> </w:t>
      </w:r>
      <w:r>
        <w:t xml:space="preserve">identifier — a method name, a package name, a configuration key it has</w:t>
      </w:r>
      <w:r>
        <w:t xml:space="preserve"> </w:t>
      </w:r>
      <w:r>
        <w:t xml:space="preserve">never specifically seen — it is not retrieving that identifier from</w:t>
      </w:r>
      <w:r>
        <w:t xml:space="preserve"> </w:t>
      </w:r>
      <w:r>
        <w:t xml:space="preserve">anything resembling a database lookup of real APIs. It is positioned, by</w:t>
      </w:r>
      <w:r>
        <w:t xml:space="preserve"> </w:t>
      </w:r>
      <w:r>
        <w:t xml:space="preserve">the geometry of the embedding space and the patterns learned over it, near</w:t>
      </w:r>
      <w:r>
        <w:t xml:space="preserve"> </w:t>
      </w:r>
      <w:r>
        <w:t xml:space="preserve">identifiers that look like that one, and it generates something that</w:t>
      </w:r>
      <w:r>
        <w:t xml:space="preserve"> </w:t>
      </w:r>
      <w:r>
        <w:t xml:space="preserve">occupies a similar position in the space of</w:t>
      </w:r>
      <w:r>
        <w:t xml:space="preserve"> </w:t>
      </w:r>
      <w:r>
        <w:t xml:space="preserve">“plausible identifiers in this</w:t>
      </w:r>
      <w:r>
        <w:t xml:space="preserve"> </w:t>
      </w:r>
      <w:r>
        <w:t xml:space="preserve">context.”</w:t>
      </w:r>
      <w:r>
        <w:t xml:space="preserve"> </w:t>
      </w:r>
      <w:r>
        <w:t xml:space="preserve">Sometimes that position corresponds to a real API. Sometimes it</w:t>
      </w:r>
      <w:r>
        <w:t xml:space="preserve"> </w:t>
      </w:r>
      <w:r>
        <w:t xml:space="preserve">corresponds to an API that would make sense, given the conventions of the</w:t>
      </w:r>
      <w:r>
        <w:t xml:space="preserve"> </w:t>
      </w:r>
      <w:r>
        <w:t xml:space="preserve">ecosystem, but does not exist. The mechanism that produces both outcomes is</w:t>
      </w:r>
      <w:r>
        <w:t xml:space="preserve"> </w:t>
      </w:r>
      <w:r>
        <w:t xml:space="preserve">identical. Nothing in the generative process distinguishes</w:t>
      </w:r>
      <w:r>
        <w:t xml:space="preserve"> </w:t>
      </w:r>
      <w:r>
        <w:t xml:space="preserve">“this identifier</w:t>
      </w:r>
      <w:r>
        <w:t xml:space="preserve"> </w:t>
      </w:r>
      <w:r>
        <w:t xml:space="preserve">is real”</w:t>
      </w:r>
      <w:r>
        <w:t xml:space="preserve"> </w:t>
      </w:r>
      <w:r>
        <w:t xml:space="preserve">from</w:t>
      </w:r>
      <w:r>
        <w:t xml:space="preserve"> </w:t>
      </w:r>
      <w:r>
        <w:t xml:space="preserve">“this identifier merely looks like the identifiers near it in</w:t>
      </w:r>
      <w:r>
        <w:t xml:space="preserve"> </w:t>
      </w:r>
      <w:r>
        <w:t xml:space="preserve">embedding space.”</w:t>
      </w:r>
    </w:p>
    <w:bookmarkEnd w:id="26"/>
    <w:bookmarkStart w:id="27" w:name="X2de83b01cf15efd46eae4703ebdbe6970264826"/>
    <w:p>
      <w:pPr>
        <w:pStyle w:val="Heading2"/>
      </w:pPr>
      <w:r>
        <w:t xml:space="preserve">The Context Window: A Fixed-Size Working Set</w:t>
      </w:r>
    </w:p>
    <w:p>
      <w:pPr>
        <w:pStyle w:val="FirstParagraph"/>
      </w:pPr>
      <w:r>
        <w:t xml:space="preserve">Every model has a maximum number of tokens it can process in a single</w:t>
      </w:r>
      <w:r>
        <w:t xml:space="preserve"> </w:t>
      </w:r>
      <w:r>
        <w:t xml:space="preserve">forward pass — the context window. Modern models offer context windows</w:t>
      </w:r>
      <w:r>
        <w:t xml:space="preserve"> </w:t>
      </w:r>
      <w:r>
        <w:t xml:space="preserve">ranging from tens of thousands to over a million tokens, but the number is</w:t>
      </w:r>
      <w:r>
        <w:t xml:space="preserve"> </w:t>
      </w:r>
      <w:r>
        <w:t xml:space="preserve">always finite, and it is shared between everything the model needs to</w:t>
      </w:r>
      <w:r>
        <w:t xml:space="preserve"> </w:t>
      </w:r>
      <w:r>
        <w:t xml:space="preserve">consider: the system prompt, the conversation history, any documents or</w:t>
      </w:r>
      <w:r>
        <w:t xml:space="preserve"> </w:t>
      </w:r>
      <w:r>
        <w:t xml:space="preserve">code provided as context, and the response being generated so far.</w:t>
      </w:r>
    </w:p>
    <w:p>
      <w:pPr>
        <w:pStyle w:val="BodyText"/>
      </w:pPr>
      <w:r>
        <w:t xml:space="preserve">The closest .NET analogy is a fixed-size buffer or a bounded</w:t>
      </w:r>
      <w:r>
        <w:t xml:space="preserve"> </w:t>
      </w:r>
      <w:r>
        <w:rPr>
          <w:rStyle w:val="VerbatimChar"/>
        </w:rPr>
        <w:t xml:space="preserve">Memory&lt;T&gt;</w:t>
      </w:r>
      <w:r>
        <w:t xml:space="preserve"> </w:t>
      </w:r>
      <w:r>
        <w:t xml:space="preserve">allocated once per request. Unlike a</w:t>
      </w:r>
      <w:r>
        <w:t xml:space="preserve"> </w:t>
      </w:r>
      <w:r>
        <w:rPr>
          <w:rStyle w:val="VerbatimChar"/>
        </w:rPr>
        <w:t xml:space="preserve">List&lt;T&gt;</w:t>
      </w:r>
      <w:r>
        <w:t xml:space="preserve">, which grows as needed, the</w:t>
      </w:r>
      <w:r>
        <w:t xml:space="preserve"> </w:t>
      </w:r>
      <w:r>
        <w:t xml:space="preserve">context window does not expand to accommodate more information — if the</w:t>
      </w:r>
      <w:r>
        <w:t xml:space="preserve"> </w:t>
      </w:r>
      <w:r>
        <w:t xml:space="preserve">combined token count of everything that needs to be in context exceeds the</w:t>
      </w:r>
      <w:r>
        <w:t xml:space="preserve"> </w:t>
      </w:r>
      <w:r>
        <w:t xml:space="preserve">window, something must be truncated, summarized, or omitted before the</w:t>
      </w:r>
      <w:r>
        <w:t xml:space="preserve"> </w:t>
      </w:r>
      <w:r>
        <w:t xml:space="preserve">request is even sent. And critically, every token inside that window is</w:t>
      </w:r>
      <w:r>
        <w:t xml:space="preserve"> </w:t>
      </w:r>
      <w:r>
        <w:t xml:space="preserve">re-processed on every forward pass during generation. The transformer layers</w:t>
      </w:r>
      <w:r>
        <w:t xml:space="preserve"> </w:t>
      </w:r>
      <w:r>
        <w:t xml:space="preserve">in the diagram above operate over the entire sequence — input plus</w:t>
      </w:r>
      <w:r>
        <w:t xml:space="preserve"> </w:t>
      </w:r>
      <w:r>
        <w:t xml:space="preserve">everything generated so far — at every step. This is why response latency</w:t>
      </w:r>
      <w:r>
        <w:t xml:space="preserve"> </w:t>
      </w:r>
      <w:r>
        <w:t xml:space="preserve">for long contexts grows non-linearly with context length for many model</w:t>
      </w:r>
      <w:r>
        <w:t xml:space="preserve"> </w:t>
      </w:r>
      <w:r>
        <w:t xml:space="preserve">architectures: doubling the context does not merely double the data being</w:t>
      </w:r>
      <w:r>
        <w:t xml:space="preserve"> </w:t>
      </w:r>
      <w:r>
        <w:t xml:space="preserve">read, it changes the computational cost of every attention operation across</w:t>
      </w:r>
      <w:r>
        <w:t xml:space="preserve"> </w:t>
      </w:r>
      <w:r>
        <w:t xml:space="preserve">every layer, because attention is computed between every pair of tokens in</w:t>
      </w:r>
      <w:r>
        <w:t xml:space="preserve"> </w:t>
      </w:r>
      <w:r>
        <w:t xml:space="preserve">the sequence.</w:t>
      </w:r>
    </w:p>
    <w:p>
      <w:pPr>
        <w:pStyle w:val="BodyText"/>
      </w:pPr>
      <w:r>
        <w:t xml:space="preserve">For an engineer designing a .NET service that constructs prompts</w:t>
      </w:r>
      <w:r>
        <w:t xml:space="preserve"> </w:t>
      </w:r>
      <w:r>
        <w:t xml:space="preserve">programmatically — assembling a system prompt, retrieved documentation,</w:t>
      </w:r>
      <w:r>
        <w:t xml:space="preserve"> </w:t>
      </w:r>
      <w:r>
        <w:t xml:space="preserve">recent conversation turns, and a user query into a single request — the</w:t>
      </w:r>
      <w:r>
        <w:t xml:space="preserve"> </w:t>
      </w:r>
      <w:r>
        <w:t xml:space="preserve">context window is a hard resource constraint with cost and latency</w:t>
      </w:r>
      <w:r>
        <w:t xml:space="preserve"> </w:t>
      </w:r>
      <w:r>
        <w:t xml:space="preserve">consequences, not a soft guideline. A service that naively concatenates</w:t>
      </w:r>
      <w:r>
        <w:t xml:space="preserve"> </w:t>
      </w:r>
      <w:r>
        <w:t xml:space="preserve">“everything that might be relevant”</w:t>
      </w:r>
      <w:r>
        <w:t xml:space="preserve"> </w:t>
      </w:r>
      <w:r>
        <w:t xml:space="preserve">into the prompt is making a resource</w:t>
      </w:r>
      <w:r>
        <w:t xml:space="preserve"> </w:t>
      </w:r>
      <w:r>
        <w:t xml:space="preserve">allocation decision with the same category of consequences as a service</w:t>
      </w:r>
      <w:r>
        <w:t xml:space="preserve"> </w:t>
      </w:r>
      <w:r>
        <w:t xml:space="preserve">that allocates an unbounded buffer per request: it works fine until the</w:t>
      </w:r>
      <w:r>
        <w:t xml:space="preserve"> </w:t>
      </w:r>
      <w:r>
        <w:t xml:space="preserve">inputs grow, and then it either fails outright (context limit exceeded) or</w:t>
      </w:r>
      <w:r>
        <w:t xml:space="preserve"> </w:t>
      </w:r>
      <w:r>
        <w:t xml:space="preserve">degrades in ways that are much harder to diagnose, which is the subject of</w:t>
      </w:r>
      <w:r>
        <w:t xml:space="preserve"> </w:t>
      </w:r>
      <w:r>
        <w:t xml:space="preserve">Section 02’s examination of</w:t>
      </w:r>
      <w:r>
        <w:t xml:space="preserve"> </w:t>
      </w:r>
      <w:r>
        <w:t xml:space="preserve">“lost in the middle”</w:t>
      </w:r>
      <w:r>
        <w:t xml:space="preserve"> </w:t>
      </w:r>
      <w:r>
        <w:t xml:space="preserve">effects.</w:t>
      </w:r>
    </w:p>
    <w:bookmarkEnd w:id="27"/>
    <w:bookmarkStart w:id="28" w:name="inference-one-forward-pass-one-token"/>
    <w:p>
      <w:pPr>
        <w:pStyle w:val="Heading2"/>
      </w:pPr>
      <w:r>
        <w:t xml:space="preserve">Inference: One Forward Pass, One Token</w:t>
      </w:r>
    </w:p>
    <w:p>
      <w:pPr>
        <w:pStyle w:val="FirstParagraph"/>
      </w:pPr>
      <w:r>
        <w:t xml:space="preserve">With tokens converted to embeddings and the context window established, the</w:t>
      </w:r>
      <w:r>
        <w:t xml:space="preserve"> </w:t>
      </w:r>
      <w:r>
        <w:t xml:space="preserve">transformer layers perform what is called inference: a sequence of</w:t>
      </w:r>
      <w:r>
        <w:t xml:space="preserve"> </w:t>
      </w:r>
      <w:r>
        <w:t xml:space="preserve">mathematical operations — primarily attention, which computes how much each</w:t>
      </w:r>
      <w:r>
        <w:t xml:space="preserve"> </w:t>
      </w:r>
      <w:r>
        <w:t xml:space="preserve">token’s representation should be influenced by every other token’s</w:t>
      </w:r>
      <w:r>
        <w:t xml:space="preserve"> </w:t>
      </w:r>
      <w:r>
        <w:t xml:space="preserve">representation, and feed-forward transformations applied independently to</w:t>
      </w:r>
      <w:r>
        <w:t xml:space="preserve"> </w:t>
      </w:r>
      <w:r>
        <w:t xml:space="preserve">each position — that produce, at the final layer, a vector of raw scores</w:t>
      </w:r>
      <w:r>
        <w:t xml:space="preserve"> </w:t>
      </w:r>
      <w:r>
        <w:t xml:space="preserve">called logits, one score per entry in the vocabulary. These logits are</w:t>
      </w:r>
      <w:r>
        <w:t xml:space="preserve"> </w:t>
      </w:r>
      <w:r>
        <w:t xml:space="preserve">converted into a probability distribution via a softmax operation, and the</w:t>
      </w:r>
      <w:r>
        <w:t xml:space="preserve"> </w:t>
      </w:r>
      <w:r>
        <w:t xml:space="preserve">next token is chosen by sampling from that distribution.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“sampling”</w:t>
      </w:r>
      <w:r>
        <w:t xml:space="preserve"> </w:t>
      </w:r>
      <w:r>
        <w:t xml:space="preserve">is doing real work in that sentence and deserves to be</w:t>
      </w:r>
      <w:r>
        <w:t xml:space="preserve"> </w:t>
      </w:r>
      <w:r>
        <w:t xml:space="preserve">unpacked, because it is the source of behaviour that engineers used to</w:t>
      </w:r>
      <w:r>
        <w:t xml:space="preserve"> </w:t>
      </w:r>
      <w:r>
        <w:t xml:space="preserve">deterministic systems often find disorienting. The model does not select</w:t>
      </w:r>
      <w:r>
        <w:t xml:space="preserve"> </w:t>
      </w:r>
      <w:r>
        <w:t xml:space="preserve">“the most likely next token”</w:t>
      </w:r>
      <w:r>
        <w:t xml:space="preserve"> </w:t>
      </w:r>
      <w:r>
        <w:t xml:space="preserve">as a deterministic rule by default — though it</w:t>
      </w:r>
      <w:r>
        <w:t xml:space="preserve"> </w:t>
      </w:r>
      <w:r>
        <w:t xml:space="preserve">can be configured to do so. Instead, a parameter called temperature controls</w:t>
      </w:r>
      <w:r>
        <w:t xml:space="preserve"> </w:t>
      </w:r>
      <w:r>
        <w:t xml:space="preserve">how the probability distribution is converted into a selection: at</w:t>
      </w:r>
      <w:r>
        <w:t xml:space="preserve"> </w:t>
      </w:r>
      <w:r>
        <w:t xml:space="preserve">temperature zero, the highest-probability token is always chosen</w:t>
      </w:r>
      <w:r>
        <w:t xml:space="preserve"> </w:t>
      </w:r>
      <w:r>
        <w:t xml:space="preserve">(deterministic, or as close to it as floating-point reproducibility allows</w:t>
      </w:r>
      <w:r>
        <w:t xml:space="preserve"> </w:t>
      </w:r>
      <w:r>
        <w:t xml:space="preserve">across hardware); at higher temperatures, tokens with lower probability have</w:t>
      </w:r>
      <w:r>
        <w:t xml:space="preserve"> </w:t>
      </w:r>
      <w:r>
        <w:t xml:space="preserve">a real, non-zero chance of being selected, which produces more varied —</w:t>
      </w:r>
      <w:r>
        <w:t xml:space="preserve"> </w:t>
      </w:r>
      <w:r>
        <w:t xml:space="preserve">and, from the model’s internal perspective, equally</w:t>
      </w:r>
      <w:r>
        <w:t xml:space="preserve"> </w:t>
      </w:r>
      <w:r>
        <w:t xml:space="preserve">“valid”</w:t>
      </w:r>
      <w:r>
        <w:t xml:space="preserve"> </w:t>
      </w:r>
      <w:r>
        <w:t xml:space="preserve">— output. From</w:t>
      </w:r>
      <w:r>
        <w:t xml:space="preserve"> </w:t>
      </w:r>
      <w:r>
        <w:t xml:space="preserve">the model’s perspective, there is no difference in kind between the</w:t>
      </w:r>
      <w:r>
        <w:t xml:space="preserve"> </w:t>
      </w:r>
      <w:r>
        <w:t xml:space="preserve">highest-probability continuation and the fifth-highest-probability</w:t>
      </w:r>
      <w:r>
        <w:t xml:space="preserve"> </w:t>
      </w:r>
      <w:r>
        <w:t xml:space="preserve">continuation. Both are points on the same distribution. The only thing that</w:t>
      </w:r>
      <w:r>
        <w:t xml:space="preserve"> </w:t>
      </w:r>
      <w:r>
        <w:t xml:space="preserve">differs is how likely each one is to have been selected.</w:t>
      </w:r>
    </w:p>
    <w:p>
      <w:pPr>
        <w:pStyle w:val="SourceCode"/>
      </w:pPr>
      <w:r>
        <w:rPr>
          <w:rStyle w:val="CommentTok"/>
        </w:rPr>
        <w:t xml:space="preserve">// Target Framework: .NET 8.0</w:t>
      </w:r>
      <w:r>
        <w:br/>
      </w:r>
      <w:r>
        <w:rPr>
          <w:rStyle w:val="CommentTok"/>
        </w:rPr>
        <w:t xml:space="preserve">// Chapter: 02 | Section: 01</w:t>
      </w:r>
      <w:r>
        <w:br/>
      </w:r>
      <w:r>
        <w:rPr>
          <w:rStyle w:val="CommentTok"/>
        </w:rPr>
        <w:t xml:space="preserve">// book/chapters/chapter-02/sections/section-01.en.md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Minimal .NET console application that calls a streaming chat</w:t>
      </w:r>
      <w:r>
        <w:br/>
      </w:r>
      <w:r>
        <w:rPr>
          <w:rStyle w:val="CommentTok"/>
        </w:rPr>
        <w:t xml:space="preserve">// completion endpoint and prints the response token-by-token as it</w:t>
      </w:r>
      <w:r>
        <w:br/>
      </w:r>
      <w:r>
        <w:rPr>
          <w:rStyle w:val="CommentTok"/>
        </w:rPr>
        <w:t xml:space="preserve">// arrives, alongside the token count of the prompt and response.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Purpose: make the per-token, sequential nature of generation visible.</w:t>
      </w:r>
      <w:r>
        <w:br/>
      </w:r>
      <w:r>
        <w:rPr>
          <w:rStyle w:val="CommentTok"/>
        </w:rPr>
        <w:t xml:space="preserve">// Each line printed below corresponds to ONE forward pass through the</w:t>
      </w:r>
      <w:r>
        <w:br/>
      </w:r>
      <w:r>
        <w:rPr>
          <w:rStyle w:val="CommentTok"/>
        </w:rPr>
        <w:t xml:space="preserve">// model — not a single "thinking" step that produced the whole answer.</w:t>
      </w:r>
      <w:r>
        <w:br/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ClientModel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OpenAI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ChatClient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"gpt-4o-mini"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credential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ApiKeyCredential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GetEnvironmentVariable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"OPENAI_API_KEY"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InvalidOperationException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"OPENAI_API_KEY not set"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ChatMessage</w:t>
      </w:r>
      <w:r>
        <w:rPr>
          <w:rStyle w:val="OperatorTok"/>
        </w:rPr>
        <w:t xml:space="preserve">[]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SystemChatMessage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"You are a senior .NET engineer. Answer in one short paragraph."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UserChatMessage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"What does the CancellationToken parameter do in an async method?"</w:t>
      </w:r>
      <w:r>
        <w:rPr>
          <w:rStyle w:val="OperatorTok"/>
        </w:rPr>
        <w:t xml:space="preserve">),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"--- Streaming response, one chunk per forward pass ---"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tokenCount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await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update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CompleteChatStreamingAsync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messages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update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ContentUpdate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Each `part.Text` here typically corresponds to one or a small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number of tokens — the smallest unit the model can emit per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forward pass. Printing immediately, without buffering, shows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the sequential generation process in real time.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tokenCount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Approximate output chunks observed: {tokenCount} ---"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Architecture note (S01-&gt;S02 handoff):</w:t>
      </w:r>
      <w:r>
        <w:br/>
      </w:r>
      <w:r>
        <w:rPr>
          <w:rStyle w:val="CommentTok"/>
        </w:rPr>
        <w:t xml:space="preserve">// Every chunk printed above was produced by re-running the ENTIRE</w:t>
      </w:r>
      <w:r>
        <w:br/>
      </w:r>
      <w:r>
        <w:rPr>
          <w:rStyle w:val="CommentTok"/>
        </w:rPr>
        <w:t xml:space="preserve">// transformer stack over the prompt PLUS every chunk generated so far.</w:t>
      </w:r>
      <w:r>
        <w:br/>
      </w:r>
      <w:r>
        <w:rPr>
          <w:rStyle w:val="CommentTok"/>
        </w:rPr>
        <w:t xml:space="preserve">// There is no separate "planning" pass that ran before this loop began.</w:t>
      </w:r>
      <w:r>
        <w:br/>
      </w:r>
      <w:r>
        <w:rPr>
          <w:rStyle w:val="CommentTok"/>
        </w:rPr>
        <w:t xml:space="preserve">// Whatever structure the final answer has — if it has a clear beginning,</w:t>
      </w:r>
      <w:r>
        <w:br/>
      </w:r>
      <w:r>
        <w:rPr>
          <w:rStyle w:val="CommentTok"/>
        </w:rPr>
        <w:t xml:space="preserve">// middle, and conclusion — emerged token-by-token, with each token chosen</w:t>
      </w:r>
      <w:r>
        <w:br/>
      </w:r>
      <w:r>
        <w:rPr>
          <w:rStyle w:val="CommentTok"/>
        </w:rPr>
        <w:t xml:space="preserve">// based only on the sequence so far, not on a pre-computed outline.</w:t>
      </w:r>
    </w:p>
    <w:p>
      <w:pPr>
        <w:pStyle w:val="FirstParagraph"/>
      </w:pPr>
      <w:r>
        <w:t xml:space="preserve">The code above is deliberately minimal, but the behaviour it surfaces is</w:t>
      </w:r>
      <w:r>
        <w:t xml:space="preserve"> </w:t>
      </w:r>
      <w:r>
        <w:t xml:space="preserve">not. Running it against the same prompt multiple times — even at a fixed,</w:t>
      </w:r>
      <w:r>
        <w:t xml:space="preserve"> </w:t>
      </w:r>
      <w:r>
        <w:t xml:space="preserve">low temperature — can produce subtly different token sequences, because the</w:t>
      </w:r>
      <w:r>
        <w:t xml:space="preserve"> </w:t>
      </w:r>
      <w:r>
        <w:t xml:space="preserve">sampling step introduces a genuine source of variation that does not exist</w:t>
      </w:r>
      <w:r>
        <w:t xml:space="preserve"> </w:t>
      </w:r>
      <w:r>
        <w:t xml:space="preserve">in a typical .NET method call. A .NET engineer accustomed to writing unit</w:t>
      </w:r>
      <w:r>
        <w:t xml:space="preserve"> </w:t>
      </w:r>
      <w:r>
        <w:t xml:space="preserve">tests that assert exact string equality on a method’s return value will find</w:t>
      </w:r>
      <w:r>
        <w:t xml:space="preserve"> </w:t>
      </w:r>
      <w:r>
        <w:t xml:space="preserve">that this assumption does not transfer to AI-generated output without an</w:t>
      </w:r>
      <w:r>
        <w:t xml:space="preserve"> </w:t>
      </w:r>
      <w:r>
        <w:t xml:space="preserve">explicit architectural decision about how much variation is acceptable and</w:t>
      </w:r>
      <w:r>
        <w:t xml:space="preserve"> </w:t>
      </w:r>
      <w:r>
        <w:t xml:space="preserve">how it will be detected — a concern this chapter returns to directly in</w:t>
      </w:r>
      <w:r>
        <w:t xml:space="preserve"> </w:t>
      </w:r>
      <w:r>
        <w:t xml:space="preserve">Section 05’s treatment of deterministic versus probabilistic systems.</w:t>
      </w:r>
    </w:p>
    <w:bookmarkEnd w:id="28"/>
    <w:bookmarkStart w:id="29" w:name="what-this-mechanism-does-not-contain"/>
    <w:p>
      <w:pPr>
        <w:pStyle w:val="Heading2"/>
      </w:pPr>
      <w:r>
        <w:t xml:space="preserve">What This Mechanism Does Not Contain</w:t>
      </w:r>
    </w:p>
    <w:p>
      <w:pPr>
        <w:pStyle w:val="FirstParagraph"/>
      </w:pPr>
      <w:r>
        <w:t xml:space="preserve">It is worth being explicit about absences, because the absences are exactly</w:t>
      </w:r>
      <w:r>
        <w:t xml:space="preserve"> </w:t>
      </w:r>
      <w:r>
        <w:t xml:space="preserve">where engineering intuitions trained on deterministic systems lead engineers</w:t>
      </w:r>
      <w:r>
        <w:t xml:space="preserve"> </w:t>
      </w:r>
      <w:r>
        <w:t xml:space="preserve">astray.</w:t>
      </w:r>
    </w:p>
    <w:p>
      <w:pPr>
        <w:pStyle w:val="BodyText"/>
      </w:pPr>
      <w:r>
        <w:t xml:space="preserve">There is no persistent memory between requests beyond what is explicitly</w:t>
      </w:r>
      <w:r>
        <w:t xml:space="preserve"> </w:t>
      </w:r>
      <w:r>
        <w:t xml:space="preserve">included in the context window. A model does not</w:t>
      </w:r>
      <w:r>
        <w:t xml:space="preserve"> </w:t>
      </w:r>
      <w:r>
        <w:t xml:space="preserve">“remember”</w:t>
      </w:r>
      <w:r>
        <w:t xml:space="preserve"> </w:t>
      </w:r>
      <w:r>
        <w:t xml:space="preserve">a previous</w:t>
      </w:r>
      <w:r>
        <w:t xml:space="preserve"> </w:t>
      </w:r>
      <w:r>
        <w:t xml:space="preserve">conversation unless that conversation’s tokens are re-sent as part of the</w:t>
      </w:r>
      <w:r>
        <w:t xml:space="preserve"> </w:t>
      </w:r>
      <w:r>
        <w:t xml:space="preserve">current context. There is no separate database of facts that the model</w:t>
      </w:r>
      <w:r>
        <w:t xml:space="preserve"> </w:t>
      </w:r>
      <w:r>
        <w:t xml:space="preserve">consults — everything it</w:t>
      </w:r>
      <w:r>
        <w:t xml:space="preserve"> </w:t>
      </w:r>
      <w:r>
        <w:t xml:space="preserve">“knows”</w:t>
      </w:r>
      <w:r>
        <w:t xml:space="preserve"> </w:t>
      </w:r>
      <w:r>
        <w:t xml:space="preserve">is encoded, implicitly and inseparably,</w:t>
      </w:r>
      <w:r>
        <w:t xml:space="preserve"> </w:t>
      </w:r>
      <w:r>
        <w:t xml:space="preserve">in the weights of the embedding tables and transformer layers, set during</w:t>
      </w:r>
      <w:r>
        <w:t xml:space="preserve"> </w:t>
      </w:r>
      <w:r>
        <w:t xml:space="preserve">training and not updated by anything that happens during inference. There is</w:t>
      </w:r>
      <w:r>
        <w:t xml:space="preserve"> </w:t>
      </w:r>
      <w:r>
        <w:t xml:space="preserve">no explicit representation of</w:t>
      </w:r>
      <w:r>
        <w:t xml:space="preserve"> </w:t>
      </w:r>
      <w:r>
        <w:t xml:space="preserve">“the current task”</w:t>
      </w:r>
      <w:r>
        <w:t xml:space="preserve"> </w:t>
      </w:r>
      <w:r>
        <w:t xml:space="preserve">or</w:t>
      </w:r>
      <w:r>
        <w:t xml:space="preserve"> </w:t>
      </w:r>
      <w:r>
        <w:t xml:space="preserve">“the plan for this</w:t>
      </w:r>
      <w:r>
        <w:t xml:space="preserve"> </w:t>
      </w:r>
      <w:r>
        <w:t xml:space="preserve">response”</w:t>
      </w:r>
      <w:r>
        <w:t xml:space="preserve"> </w:t>
      </w:r>
      <w:r>
        <w:t xml:space="preserve">that exists independently of the token sequence itself — if the</w:t>
      </w:r>
      <w:r>
        <w:t xml:space="preserve"> </w:t>
      </w:r>
      <w:r>
        <w:t xml:space="preserve">model’s output reads as though it followed a plan, that structure exists</w:t>
      </w:r>
      <w:r>
        <w:t xml:space="preserve"> </w:t>
      </w:r>
      <w:r>
        <w:t xml:space="preserve">only as a pattern in the generated tokens, indistinguishable, from the</w:t>
      </w:r>
      <w:r>
        <w:t xml:space="preserve"> </w:t>
      </w:r>
      <w:r>
        <w:t xml:space="preserve">model’s perspective, from any other sequence of tokens it might have</w:t>
      </w:r>
      <w:r>
        <w:t xml:space="preserve"> </w:t>
      </w:r>
      <w:r>
        <w:t xml:space="preserve">produced.</w:t>
      </w:r>
    </w:p>
    <w:p>
      <w:pPr>
        <w:pStyle w:val="BodyText"/>
      </w:pPr>
      <w:r>
        <w:t xml:space="preserve">This is not a limitation that better prompting fully overcomes, and it is</w:t>
      </w:r>
      <w:r>
        <w:t xml:space="preserve"> </w:t>
      </w:r>
      <w:r>
        <w:t xml:space="preserve">not a limitation that will necessarily be removed by larger models — it is</w:t>
      </w:r>
      <w:r>
        <w:t xml:space="preserve"> </w:t>
      </w:r>
      <w:r>
        <w:t xml:space="preserve">the architecture. Everything explored in the remainder of this chapter —</w:t>
      </w:r>
      <w:r>
        <w:t xml:space="preserve"> </w:t>
      </w:r>
      <w:r>
        <w:t xml:space="preserve">why models seem to reason, where that apparent reasoning breaks down, why</w:t>
      </w:r>
      <w:r>
        <w:t xml:space="preserve"> </w:t>
      </w:r>
      <w:r>
        <w:t xml:space="preserve">hallucination is structural rather than incidental, and what calibrated</w:t>
      </w:r>
      <w:r>
        <w:t xml:space="preserve"> </w:t>
      </w:r>
      <w:r>
        <w:t xml:space="preserve">trust looks like in practice — follows directly from the mechanism described</w:t>
      </w:r>
      <w:r>
        <w:t xml:space="preserve"> </w:t>
      </w:r>
      <w:r>
        <w:t xml:space="preserve">in this section.</w:t>
      </w:r>
    </w:p>
    <w:bookmarkEnd w:id="29"/>
    <w:bookmarkStart w:id="30" w:name="X98ce55f2d48be799d7a7d9c92f799e1766719f6"/>
    <w:p>
      <w:pPr>
        <w:pStyle w:val="Heading2"/>
      </w:pPr>
      <w:r>
        <w:t xml:space="preserve">Distinguishing the Different Kinds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in a Large Language Model</w:t>
      </w:r>
    </w:p>
    <w:p>
      <w:pPr>
        <w:pStyle w:val="FirstParagraph"/>
      </w:pPr>
      <w:r>
        <w:t xml:space="preserve">One of the most common misunderstandings among .NET engineers encountering</w:t>
      </w:r>
      <w:r>
        <w:t xml:space="preserve"> </w:t>
      </w:r>
      <w:r>
        <w:t xml:space="preserve">large language models for the first time is to imagine that a model’s errors</w:t>
      </w:r>
      <w:r>
        <w:t xml:space="preserve"> </w:t>
      </w:r>
      <w:r>
        <w:t xml:space="preserve">resemble runtime exceptions or type errors: discrete events that can be</w:t>
      </w:r>
      <w:r>
        <w:t xml:space="preserve"> </w:t>
      </w:r>
      <w:r>
        <w:t xml:space="preserve">detected and managed reliably. The mechanism described in this section shows</w:t>
      </w:r>
      <w:r>
        <w:t xml:space="preserve"> </w:t>
      </w:r>
      <w:r>
        <w:t xml:space="preserve">why that picture is structurally misleading.</w:t>
      </w:r>
    </w:p>
    <w:p>
      <w:pPr>
        <w:pStyle w:val="BodyText"/>
      </w:pPr>
      <w:r>
        <w:t xml:space="preserve">In a deterministic .NET system, an incorrect code path fails in exactly one</w:t>
      </w:r>
      <w:r>
        <w:t xml:space="preserve"> </w:t>
      </w:r>
      <w:r>
        <w:t xml:space="preserve">of three ways: either the compiler refuses to compile it because it violates</w:t>
      </w:r>
      <w:r>
        <w:t xml:space="preserve"> </w:t>
      </w:r>
      <w:r>
        <w:t xml:space="preserve">the type system, or the runtime crashes and throws an exception at the point</w:t>
      </w:r>
      <w:r>
        <w:t xml:space="preserve"> </w:t>
      </w:r>
      <w:r>
        <w:t xml:space="preserve">of failure, or it produces incorrect output that a test with exposing inputs</w:t>
      </w:r>
      <w:r>
        <w:t xml:space="preserve"> </w:t>
      </w:r>
      <w:r>
        <w:t xml:space="preserve">can detect. In all three cases, the failure is discrete and its bounds can</w:t>
      </w:r>
      <w:r>
        <w:t xml:space="preserve"> </w:t>
      </w:r>
      <w:r>
        <w:t xml:space="preserve">be determined.</w:t>
      </w:r>
    </w:p>
    <w:p>
      <w:pPr>
        <w:pStyle w:val="BodyText"/>
      </w:pPr>
      <w:r>
        <w:t xml:space="preserve">A large language model has no equivalent discriminator. The next token is</w:t>
      </w:r>
      <w:r>
        <w:t xml:space="preserve"> </w:t>
      </w:r>
      <w:r>
        <w:t xml:space="preserve">simply the most probable token under the learned distribution, whether it is</w:t>
      </w:r>
      <w:r>
        <w:t xml:space="preserve"> </w:t>
      </w:r>
      <w:r>
        <w:t xml:space="preserve">part of a correct answer or part of a fabricated claim. The model has no</w:t>
      </w:r>
      <w:r>
        <w:t xml:space="preserve"> </w:t>
      </w:r>
      <w:r>
        <w:t xml:space="preserve">internal state representing</w:t>
      </w:r>
      <w:r>
        <w:t xml:space="preserve"> </w:t>
      </w:r>
      <w:r>
        <w:t xml:space="preserve">“I am confident”</w:t>
      </w:r>
      <w:r>
        <w:t xml:space="preserve"> </w:t>
      </w:r>
      <w:r>
        <w:t xml:space="preserve">or</w:t>
      </w:r>
      <w:r>
        <w:t xml:space="preserve"> </w:t>
      </w:r>
      <w:r>
        <w:t xml:space="preserve">“I am guessing”</w:t>
      </w:r>
      <w:r>
        <w:t xml:space="preserve"> </w:t>
      </w:r>
      <w:r>
        <w:t xml:space="preserve">— it produces</w:t>
      </w:r>
      <w:r>
        <w:t xml:space="preserve"> </w:t>
      </w:r>
      <w:r>
        <w:t xml:space="preserve">a probability distribution in both cases, and the difference between the two</w:t>
      </w:r>
      <w:r>
        <w:t xml:space="preserve"> </w:t>
      </w:r>
      <w:r>
        <w:t xml:space="preserve">cases lies in the relative likelihoods of different tokens, not in any</w:t>
      </w:r>
      <w:r>
        <w:t xml:space="preserve"> </w:t>
      </w:r>
      <w:r>
        <w:t xml:space="preserve">explicit flag that can be queried. This is the underlying reason why the</w:t>
      </w:r>
      <w:r>
        <w:t xml:space="preserve"> </w:t>
      </w:r>
      <w:r>
        <w:t xml:space="preserve">confidence expressed in a model’s output — the categorical tone, the decisive</w:t>
      </w:r>
      <w:r>
        <w:t xml:space="preserve"> </w:t>
      </w:r>
      <w:r>
        <w:t xml:space="preserve">unhedged sentences — is generated as the most likely tokens in a context of</w:t>
      </w:r>
      <w:r>
        <w:t xml:space="preserve"> </w:t>
      </w:r>
      <w:r>
        <w:t xml:space="preserve">confident-sounding technical prose, not derived from any internal assessment</w:t>
      </w:r>
      <w:r>
        <w:t xml:space="preserve"> </w:t>
      </w:r>
      <w:r>
        <w:t xml:space="preserve">of the neighbouring content. Sections 03 and 04 return to this directly with</w:t>
      </w:r>
      <w:r>
        <w:t xml:space="preserve"> </w:t>
      </w:r>
      <w:r>
        <w:t xml:space="preserve">a detailed analysis of the patterns in which statistical inference collapses.</w:t>
      </w:r>
    </w:p>
    <w:bookmarkEnd w:id="30"/>
    <w:bookmarkStart w:id="31" w:name="X4b11fbe236d6ea3efd20bb4af0abe47b9acc3d6"/>
    <w:p>
      <w:pPr>
        <w:pStyle w:val="Heading2"/>
      </w:pPr>
      <w:r>
        <w:t xml:space="preserve">Why Understanding the Mechanism Matters in Practice</w:t>
      </w:r>
    </w:p>
    <w:p>
      <w:pPr>
        <w:pStyle w:val="FirstParagraph"/>
      </w:pPr>
      <w:r>
        <w:t xml:space="preserve">An engineer might reasonably ask: why does this level of architectural detail</w:t>
      </w:r>
      <w:r>
        <w:t xml:space="preserve"> </w:t>
      </w:r>
      <w:r>
        <w:t xml:space="preserve">deserve study when the model’s outputs can simply be tested and whatever does</w:t>
      </w:r>
      <w:r>
        <w:t xml:space="preserve"> </w:t>
      </w:r>
      <w:r>
        <w:t xml:space="preserve">not work handled? The answer appears in three places.</w:t>
      </w:r>
    </w:p>
    <w:p>
      <w:pPr>
        <w:pStyle w:val="BodyText"/>
      </w:pPr>
      <w:r>
        <w:t xml:space="preserve">The first is that understanding the mechanism enables predicting failure</w:t>
      </w:r>
      <w:r>
        <w:t xml:space="preserve"> </w:t>
      </w:r>
      <w:r>
        <w:t xml:space="preserve">instead of merely observing it. An engineer who knows that the model’s skill</w:t>
      </w:r>
      <w:r>
        <w:t xml:space="preserve"> </w:t>
      </w:r>
      <w:r>
        <w:t xml:space="preserve">is a function of training-data density can perform a proactive risk</w:t>
      </w:r>
      <w:r>
        <w:t xml:space="preserve"> </w:t>
      </w:r>
      <w:r>
        <w:t xml:space="preserve">assessment before integrating a model into a production service: does this</w:t>
      </w:r>
      <w:r>
        <w:t xml:space="preserve"> </w:t>
      </w:r>
      <w:r>
        <w:t xml:space="preserve">task depend on well-documented patterns, or on rare interactions between</w:t>
      </w:r>
      <w:r>
        <w:t xml:space="preserve"> </w:t>
      </w:r>
      <w:r>
        <w:t xml:space="preserve">multiple .NET features with insufficient examples in the training data? The</w:t>
      </w:r>
      <w:r>
        <w:t xml:space="preserve"> </w:t>
      </w:r>
      <w:r>
        <w:t xml:space="preserve">answer determines the level of verification that AI integration into the</w:t>
      </w:r>
      <w:r>
        <w:t xml:space="preserve"> </w:t>
      </w:r>
      <w:r>
        <w:t xml:space="preserve">critical path requires.</w:t>
      </w:r>
    </w:p>
    <w:p>
      <w:pPr>
        <w:pStyle w:val="BodyText"/>
      </w:pPr>
      <w:r>
        <w:t xml:space="preserve">The second is that understanding the context window directly improves the</w:t>
      </w:r>
      <w:r>
        <w:t xml:space="preserve"> </w:t>
      </w:r>
      <w:r>
        <w:t xml:space="preserve">quality of model output. An engineer who knows that the model re-processes</w:t>
      </w:r>
      <w:r>
        <w:t xml:space="preserve"> </w:t>
      </w:r>
      <w:r>
        <w:t xml:space="preserve">every token in its window on every forward pass — and that tokens in the</w:t>
      </w:r>
      <w:r>
        <w:t xml:space="preserve"> </w:t>
      </w:r>
      <w:r>
        <w:t xml:space="preserve">middle of a long context receive less attention through what research has</w:t>
      </w:r>
      <w:r>
        <w:t xml:space="preserve"> </w:t>
      </w:r>
      <w:r>
        <w:t xml:space="preserve">called the</w:t>
      </w:r>
      <w:r>
        <w:t xml:space="preserve"> </w:t>
      </w:r>
      <w:r>
        <w:t xml:space="preserve">“lost in the middle”</w:t>
      </w:r>
      <w:r>
        <w:t xml:space="preserve"> </w:t>
      </w:r>
      <w:r>
        <w:t xml:space="preserve">effect — will design prompt structure</w:t>
      </w:r>
      <w:r>
        <w:t xml:space="preserve"> </w:t>
      </w:r>
      <w:r>
        <w:t xml:space="preserve">differently: placing the most important information first and last, and</w:t>
      </w:r>
      <w:r>
        <w:t xml:space="preserve"> </w:t>
      </w:r>
      <w:r>
        <w:t xml:space="preserve">managing context size deliberately instead of unboundedly appending</w:t>
      </w:r>
      <w:r>
        <w:t xml:space="preserve"> </w:t>
      </w:r>
      <w:r>
        <w:t xml:space="preserve">everything that might be relevant.</w:t>
      </w:r>
    </w:p>
    <w:p>
      <w:pPr>
        <w:pStyle w:val="BodyText"/>
      </w:pPr>
      <w:r>
        <w:t xml:space="preserve">The third is that understanding sequential generation clarifies why late</w:t>
      </w:r>
      <w:r>
        <w:t xml:space="preserve"> </w:t>
      </w:r>
      <w:r>
        <w:t xml:space="preserve">instructions in a prompt have a different effect from early ones. Earlier</w:t>
      </w:r>
      <w:r>
        <w:t xml:space="preserve"> </w:t>
      </w:r>
      <w:r>
        <w:t xml:space="preserve">tokens shape the probability distributions of later tokens. The system</w:t>
      </w:r>
      <w:r>
        <w:t xml:space="preserve"> </w:t>
      </w:r>
      <w:r>
        <w:t xml:space="preserve">context provided at the start of a prompt shapes the overall distribution of</w:t>
      </w:r>
      <w:r>
        <w:t xml:space="preserve"> </w:t>
      </w:r>
      <w:r>
        <w:t xml:space="preserve">everything that follows. Instructions given late in a long conversation may</w:t>
      </w:r>
      <w:r>
        <w:t xml:space="preserve"> </w:t>
      </w:r>
      <w:r>
        <w:t xml:space="preserve">be diluted if previously generated tokens have already entrenched a strong</w:t>
      </w:r>
      <w:r>
        <w:t xml:space="preserve"> </w:t>
      </w:r>
      <w:r>
        <w:t xml:space="preserve">statistical pattern heading in a different direction.</w:t>
      </w:r>
    </w:p>
    <w:p>
      <w:pPr>
        <w:pStyle w:val="BodyText"/>
        <w:sectPr w:rsidR="00FC693F" w:rsidRPr="0006063C" w:rsidSect="00034616">
          <w:headerReference r:id="rId9" w:type="first"/>
          <w:headerReference r:id="rId10" w:type="default"/>
          <w:footerReference r:id="rId11" w:type="first"/>
          <w:footerReference r:id="rId12" w:type="default"/>
          <w:pgSz w:h="16838" w:w="11906"/>
          <w:pgMar w:bottom="1418" w:footer="680" w:gutter="0" w:header="567" w:left="1588" w:right="1021" w:top="1134"/>
          <w:cols w:space="720"/>
          <w:titlePg/>
          <w:docGrid w:linePitch="360"/>
        </w:sectPr>
      </w:pPr>
      <w:r>
        <w:t xml:space="preserve">These three considerations are not added for theoretical completeness — they</w:t>
      </w:r>
      <w:r>
        <w:t xml:space="preserve"> </w:t>
      </w:r>
      <w:r>
        <w:t xml:space="preserve">are the direct application of the mechanism described in this section to the</w:t>
      </w:r>
      <w:r>
        <w:t xml:space="preserve"> </w:t>
      </w:r>
      <w:r>
        <w:t xml:space="preserve">design decisions of AI-integrated .NET services. The next section builds on</w:t>
      </w:r>
      <w:r>
        <w:t xml:space="preserve"> </w:t>
      </w:r>
      <w:r>
        <w:t xml:space="preserve">them by posing the complementary question: if the mechanism is only</w:t>
      </w:r>
      <w:r>
        <w:t xml:space="preserve"> </w:t>
      </w:r>
      <w:r>
        <w:t xml:space="preserve">next-token prediction over a sequence, where does the persuasive impression</w:t>
      </w:r>
      <w:r>
        <w:t xml:space="preserve"> </w:t>
      </w:r>
      <w:r>
        <w:t xml:space="preserve">of comprehension and reasoning that engineers observe in so much of its</w:t>
      </w:r>
      <w:r>
        <w:t xml:space="preserve"> </w:t>
      </w:r>
      <w:r>
        <w:t xml:space="preserve">output come from?</w:t>
      </w:r>
    </w:p>
    <w:bookmarkEnd w:id="31"/>
    <w:bookmarkEnd w:id="32"/>
    <w:p>
      <w:pPr>
        <w:spacing w:before="0" w:after="0" w:line="240" w:lineRule="auto"/>
        <w:jc w:val="center"/>
      </w:pPr>
      <w:r>
        <w:drawing>
          <wp:inline>
            <wp:extent cx="7560000" cy="1069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-cover.jp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/>
      <w:pgMar w:top="0" w:right="0" w:bottom="0" w:left="0" w:header="0" w:footer="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sz w:val="18"/>
        <w:color w:val="78411E"/>
        <w:rFonts w:ascii="Open Sans"/>
      </w:rPr>
      <w:t xml:space="preserve">— </w:t>
    </w:r>
    <w:fldSimple w:instr=" PAGE ">
      <w:r>
        <w:rPr>
          <w:sz w:val="18"/>
          <w:color w:val="78411E"/>
          <w:rFonts w:ascii="Open Sans"/>
        </w:rPr>
        <w:t>1</w:t>
      </w:r>
    </w:fldSimple>
    <w:r>
      <w:rPr>
        <w:sz w:val="18"/>
        <w:color w:val="78411E"/>
        <w:rFonts w:ascii="Open Sans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>
      <w:rPr>
        <w:rFonts w:ascii="Open Sans" w:hAnsi="Open Sans"/>
        <w:color w:val="8C735A"/>
        <w:sz w:val="15"/>
      </w:rPr>
      <w:t>AI-Assisted Professional Engineering with .NET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60" w:before="0" w:line="276" w:lineRule="auto"/>
    </w:pPr>
    <w:rPr>
      <w:rFonts w:ascii="Segoe UI" w:cs="Segoe UI" w:eastAsia="Segoe UI" w:hAnsi="Segoe UI"/>
      <w:b w:val="0"/>
      <w:i w:val="0"/>
      <w:color w:val="282828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360" w:before="720" w:line="252" w:lineRule="auto"/>
      <w:outlineLvl w:val="0"/>
    </w:pPr>
    <w:rPr>
      <w:rFonts w:ascii="Open Sans" w:asciiTheme="majorHAnsi" w:cs="Open Sans" w:cstheme="majorBidi" w:eastAsia="Open Sans" w:eastAsiaTheme="majorEastAsia" w:hAnsi="Open Sans" w:hAnsiTheme="majorHAnsi"/>
      <w:b/>
      <w:bCs/>
      <w:i w:val="0"/>
      <w:color w:val="78411E"/>
      <w:sz w:val="4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200" w:before="480" w:line="264" w:lineRule="auto"/>
      <w:outlineLvl w:val="1"/>
    </w:pPr>
    <w:rPr>
      <w:rFonts w:ascii="Open Sans" w:asciiTheme="majorHAnsi" w:cs="Open Sans" w:cstheme="majorBidi" w:eastAsia="Open Sans" w:eastAsiaTheme="majorEastAsia" w:hAnsi="Open Sans" w:hAnsiTheme="majorHAnsi"/>
      <w:b/>
      <w:bCs/>
      <w:i w:val="0"/>
      <w:color w:val="282828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360" w:line="264" w:lineRule="auto"/>
      <w:outlineLvl w:val="2"/>
    </w:pPr>
    <w:rPr>
      <w:rFonts w:ascii="Open Sans" w:asciiTheme="majorHAnsi" w:cs="Open Sans" w:cstheme="majorBidi" w:eastAsia="Open Sans" w:eastAsiaTheme="majorEastAsia" w:hAnsi="Open Sans" w:hAnsiTheme="majorHAnsi"/>
      <w:b/>
      <w:bCs/>
      <w:i w:val="0"/>
      <w:color w:val="50505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Open Sans" w:asciiTheme="majorHAnsi" w:cs="Open Sans" w:cstheme="majorBidi" w:eastAsia="Open Sans" w:eastAsiaTheme="majorEastAsia" w:hAnsi="Open Sans" w:hAnsiTheme="majorHAnsi"/>
      <w:b w:val="0"/>
      <w:bCs/>
      <w:i w:val="0"/>
      <w:iCs/>
      <w:color w:val="969696"/>
      <w:sz w:val="2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="Open Sans" w:asciiTheme="majorHAnsi" w:cs="Open Sans" w:cstheme="majorBidi" w:eastAsia="Open Sans" w:eastAsiaTheme="majorEastAsia" w:hAnsi="Open Sans" w:hAnsiTheme="majorHAnsi"/>
      <w:b w:val="0"/>
      <w:i w:val="0"/>
      <w:color w:val="969696"/>
      <w:sz w:val="2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="Open Sans" w:asciiTheme="majorHAnsi" w:cs="Open Sans" w:cstheme="majorBidi" w:eastAsia="Open Sans" w:eastAsiaTheme="majorEastAsia" w:hAnsi="Open Sans" w:hAnsiTheme="majorHAnsi"/>
      <w:b w:val="0"/>
      <w:i w:val="0"/>
      <w:iCs/>
      <w:color w:val="969696"/>
      <w:sz w:val="2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="Open Sans" w:asciiTheme="majorHAnsi" w:cs="Open Sans" w:cstheme="majorBidi" w:eastAsia="Open Sans" w:eastAsiaTheme="majorEastAsia" w:hAnsi="Open Sans" w:hAnsiTheme="majorHAnsi"/>
      <w:b w:val="0"/>
      <w:i w:val="0"/>
      <w:iCs/>
      <w:color w:val="969696"/>
      <w:sz w:val="2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="Open Sans" w:asciiTheme="majorHAnsi" w:cs="Open Sans" w:cstheme="majorBidi" w:eastAsia="Open Sans" w:eastAsiaTheme="majorEastAsia" w:hAnsi="Open Sans" w:hAnsiTheme="majorHAnsi"/>
      <w:b w:val="0"/>
      <w:i w:val="0"/>
      <w:color w:val="969696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="Open Sans" w:asciiTheme="majorHAnsi" w:cs="Open Sans" w:cstheme="majorBidi" w:eastAsia="Open Sans" w:eastAsiaTheme="majorEastAsia" w:hAnsi="Open Sans" w:hAnsiTheme="majorHAnsi"/>
      <w:b w:val="0"/>
      <w:bCs/>
      <w:i w:val="0"/>
      <w:color w:val="969696"/>
      <w:sz w:val="20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="Open Sans" w:asciiTheme="majorHAnsi" w:cs="Open Sans" w:cstheme="majorBidi" w:eastAsia="Open Sans" w:eastAsiaTheme="majorEastAsia" w:hAnsi="Open Sans" w:hAnsiTheme="majorHAnsi"/>
      <w:b w:val="0"/>
      <w:bCs/>
      <w:i w:val="0"/>
      <w:color w:val="969696"/>
      <w:sz w:val="20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="Open Sans" w:asciiTheme="majorHAnsi" w:cs="Open Sans" w:cstheme="majorBidi" w:eastAsia="Open Sans" w:eastAsiaTheme="majorEastAsia" w:hAnsi="Open Sans" w:hAnsiTheme="majorHAnsi"/>
      <w:b w:val="0"/>
      <w:bCs/>
      <w:i w:val="0"/>
      <w:color w:val="969696"/>
      <w:sz w:val="20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360" w:before="720" w:line="252" w:lineRule="auto"/>
      <w:contextualSpacing/>
    </w:pPr>
    <w:rPr>
      <w:rFonts w:ascii="Open Sans" w:asciiTheme="majorHAnsi" w:cs="Open Sans" w:cstheme="majorBidi" w:eastAsia="Open Sans" w:eastAsiaTheme="majorEastAsia" w:hAnsi="Open Sans" w:hAnsiTheme="majorHAnsi"/>
      <w:b/>
      <w:i w:val="0"/>
      <w:color w:val="78411E"/>
      <w:spacing w:val="5"/>
      <w:kern w:val="28"/>
      <w:sz w:val="4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Open Sans" w:asciiTheme="majorHAnsi" w:cs="Open Sans" w:cstheme="majorBidi" w:eastAsia="Open Sans" w:eastAsiaTheme="majorEastAsia" w:hAnsi="Open Sans" w:hAnsiTheme="majorHAnsi"/>
      <w:b w:val="0"/>
      <w:i w:val="0"/>
      <w:iCs/>
      <w:color w:val="969696"/>
      <w:spacing w:val="15"/>
      <w:sz w:val="20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="Open Sans" w:asciiTheme="majorHAnsi" w:cs="Open Sans" w:cstheme="majorBidi" w:eastAsia="Open Sans" w:eastAsiaTheme="majorEastAsia" w:hAnsi="Open Sans" w:hAnsiTheme="majorHAnsi"/>
      <w:b w:val="0"/>
      <w:i w:val="0"/>
      <w:iCs/>
      <w:color w:val="969696"/>
      <w:spacing w:val="15"/>
      <w:sz w:val="20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60" w:before="0" w:line="276" w:lineRule="auto"/>
      <w:jc w:val="both"/>
    </w:pPr>
    <w:rPr>
      <w:rFonts w:ascii="Segoe UI" w:cs="Segoe UI" w:eastAsia="Segoe UI" w:hAnsi="Segoe UI"/>
      <w:b w:val="0"/>
      <w:i w:val="0"/>
      <w:color w:val="282828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="Open Sans" w:asciiTheme="majorHAnsi" w:cs="Open Sans" w:cstheme="majorBidi" w:eastAsia="Open Sans" w:eastAsiaTheme="majorEastAsia" w:hAnsi="Open Sans" w:hAnsiTheme="majorHAnsi"/>
      <w:b w:val="0"/>
      <w:bCs/>
      <w:i w:val="0"/>
      <w:iCs/>
      <w:color w:val="969696"/>
      <w:sz w:val="2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="Open Sans" w:asciiTheme="majorHAnsi" w:cs="Open Sans" w:cstheme="majorBidi" w:eastAsia="Open Sans" w:eastAsiaTheme="majorEastAsia" w:hAnsi="Open Sans" w:hAnsiTheme="majorHAnsi"/>
      <w:b w:val="0"/>
      <w:i w:val="0"/>
      <w:color w:val="969696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="Open Sans" w:asciiTheme="majorHAnsi" w:cs="Open Sans" w:cstheme="majorBidi" w:eastAsia="Open Sans" w:eastAsiaTheme="majorEastAsia" w:hAnsi="Open Sans" w:hAnsiTheme="majorHAnsi"/>
      <w:b w:val="0"/>
      <w:i w:val="0"/>
      <w:iCs/>
      <w:color w:val="969696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="Open Sans" w:asciiTheme="majorHAnsi" w:cs="Open Sans" w:cstheme="majorBidi" w:eastAsia="Open Sans" w:eastAsiaTheme="majorEastAsia" w:hAnsi="Open Sans" w:hAnsiTheme="majorHAnsi"/>
      <w:b w:val="0"/>
      <w:i w:val="0"/>
      <w:iCs/>
      <w:color w:val="969696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="Open Sans" w:asciiTheme="majorHAnsi" w:cs="Open Sans" w:cstheme="majorBidi" w:eastAsia="Open Sans" w:eastAsiaTheme="majorEastAsia" w:hAnsi="Open Sans" w:hAnsiTheme="majorHAnsi"/>
      <w:b w:val="0"/>
      <w:i w:val="0"/>
      <w:color w:val="969696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0" w:line="240" w:lineRule="auto"/>
      <w:jc w:val="center"/>
    </w:pPr>
    <w:rPr>
      <w:rFonts w:ascii="Open Sans" w:cs="Open Sans" w:eastAsia="Open Sans" w:hAnsi="Open Sans"/>
      <w:b w:val="0"/>
      <w:bCs/>
      <w:i/>
      <w:color w:val="8C735A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ascii="Open Sans" w:cs="Open Sans" w:eastAsia="Open Sans" w:hAnsi="Open Sans"/>
      <w:b w:val="0"/>
      <w:bCs/>
      <w:i w:val="0"/>
      <w:iCs/>
      <w:color w:val="969696"/>
      <w:sz w:val="20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ascii="Open Sans" w:cs="Open Sans" w:eastAsia="Open Sans" w:hAnsi="Open Sans"/>
      <w:b w:val="0"/>
      <w:bCs/>
      <w:i w:val="0"/>
      <w:iCs/>
      <w:color w:val="969696"/>
      <w:sz w:val="20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ascii="Open Sans" w:cs="Open Sans" w:eastAsia="Open Sans" w:hAnsi="Open Sans"/>
      <w:b w:val="0"/>
      <w:bCs/>
      <w:i w:val="0"/>
      <w:iCs/>
      <w:color w:val="969696"/>
      <w:sz w:val="20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 w:bidi="0">
      <w:spacing w:after="240" w:before="240" w:line="240" w:lineRule="auto"/>
      <w:ind w:left="227"/>
      <w:shd w:color="auto" w:fill="333333" w:val="clear"/>
      <w:pBdr>
        <w:left w:color="C8823C" w:space="6" w:sz="8" w:val="single"/>
      </w:pBdr>
    </w:pPr>
    <w:rPr>
      <w:rFonts w:ascii="Consolas" w:cs="Consolas" w:eastAsia="Consolas" w:hAnsi="Consolas"/>
      <w:b w:val="0"/>
      <w:i w:val="0"/>
      <w:color w:val="D4D4D4"/>
      <w:sz w:val="18"/>
    </w:rPr>
  </w:style>
  <w:style w:customStyle="1" w:styleId="CaptionedFigure" w:type="paragraph">
    <w:name w:val="CaptionedFigure"/>
    <w:pPr>
      <w:spacing w:after="0" w:before="0" w:line="276" w:lineRule="auto"/>
      <w:jc w:val="center"/>
    </w:pPr>
    <w:rPr>
      <w:rFonts w:ascii="Segoe UI" w:cs="Segoe UI" w:eastAsia="Segoe UI" w:hAnsi="Segoe UI"/>
      <w:b w:val="0"/>
      <w:i w:val="0"/>
      <w:color w:val="282828"/>
      <w:sz w:val="21"/>
    </w:rPr>
  </w:style>
  <w:style w:customStyle="1" w:styleId="ImageCaption" w:type="paragraph">
    <w:name w:val="ImageCaption"/>
    <w:pPr>
      <w:spacing w:after="160" w:before="0" w:line="240" w:lineRule="auto"/>
      <w:jc w:val="center"/>
    </w:pPr>
    <w:rPr>
      <w:rFonts w:ascii="Open Sans" w:cs="Open Sans" w:eastAsia="Open Sans" w:hAnsi="Open Sans"/>
      <w:b/>
      <w:i w:val="0"/>
      <w:color w:val="8C735A"/>
      <w:sz w:val="18"/>
    </w:rPr>
  </w:style>
  <w:style w:customStyle="1" w:styleId="BookBody" w:type="paragraph">
    <w:name w:val="BookBody"/>
    <w:pPr>
      <w:spacing w:after="60" w:before="0" w:line="276" w:lineRule="auto"/>
      <w:jc w:val="both"/>
    </w:pPr>
    <w:rPr>
      <w:rFonts w:ascii="Segoe UI" w:cs="Segoe UI" w:eastAsia="Segoe UI" w:hAnsi="Segoe UI"/>
      <w:b w:val="0"/>
      <w:i w:val="0"/>
      <w:color w:val="282828"/>
      <w:sz w:val="21"/>
    </w:rPr>
  </w:style>
  <w:style w:customStyle="1" w:styleId="BookHeading1" w:type="paragraph">
    <w:name w:val="BookHeading1"/>
    <w:pPr>
      <w:keepNext/>
      <w:spacing w:after="360" w:before="720" w:line="252" w:lineRule="auto"/>
    </w:pPr>
    <w:rPr>
      <w:rFonts w:ascii="Open Sans" w:cs="Open Sans" w:eastAsia="Open Sans" w:hAnsi="Open Sans"/>
      <w:b/>
      <w:i w:val="0"/>
      <w:color w:val="78411E"/>
      <w:sz w:val="48"/>
    </w:rPr>
  </w:style>
  <w:style w:customStyle="1" w:styleId="BookHeading2" w:type="paragraph">
    <w:name w:val="BookHeading2"/>
    <w:pPr>
      <w:keepNext/>
      <w:spacing w:after="200" w:before="480" w:line="264" w:lineRule="auto"/>
    </w:pPr>
    <w:rPr>
      <w:rFonts w:ascii="Open Sans" w:cs="Open Sans" w:eastAsia="Open Sans" w:hAnsi="Open Sans"/>
      <w:b/>
      <w:i w:val="0"/>
      <w:color w:val="282828"/>
      <w:sz w:val="32"/>
    </w:rPr>
  </w:style>
  <w:style w:customStyle="1" w:styleId="BookHeading3" w:type="paragraph">
    <w:name w:val="BookHeading3"/>
    <w:pPr>
      <w:keepNext/>
      <w:spacing w:after="120" w:before="360" w:line="264" w:lineRule="auto"/>
    </w:pPr>
    <w:rPr>
      <w:rFonts w:ascii="Open Sans" w:cs="Open Sans" w:eastAsia="Open Sans" w:hAnsi="Open Sans"/>
      <w:b/>
      <w:i w:val="0"/>
      <w:color w:val="505050"/>
      <w:sz w:val="26"/>
    </w:rPr>
  </w:style>
  <w:style w:customStyle="1" w:styleId="BookCode" w:type="paragraph">
    <w:name w:val="BookCode"/>
    <w:pPr w:bidi="0">
      <w:spacing w:after="240" w:before="240" w:line="240" w:lineRule="auto"/>
      <w:ind w:left="227"/>
      <w:shd w:color="auto" w:fill="333333" w:val="clear"/>
      <w:pBdr>
        <w:left w:color="C8823C" w:space="6" w:sz="8" w:val="single"/>
      </w:pBdr>
    </w:pPr>
    <w:rPr>
      <w:rFonts w:ascii="Consolas" w:cs="Consolas" w:eastAsia="Consolas" w:hAnsi="Consolas"/>
      <w:b w:val="0"/>
      <w:i w:val="0"/>
      <w:color w:val="D4D4D4"/>
      <w:sz w:val="18"/>
    </w:rPr>
  </w:style>
  <w:style w:customStyle="1" w:styleId="BookQuote" w:type="paragraph">
    <w:name w:val="BookQuote"/>
    <w:pPr>
      <w:spacing w:after="160" w:before="160" w:line="264" w:lineRule="auto"/>
      <w:ind w:left="680" w:right="680"/>
      <w:pBdr>
        <w:left w:color="78411E" w:space="6" w:sz="10" w:val="single"/>
      </w:pBdr>
      <w:shd w:color="auto" w:fill="F5F2F0" w:val="clear"/>
    </w:pPr>
    <w:rPr>
      <w:rFonts w:ascii="Segoe UI" w:cs="Segoe UI" w:eastAsia="Segoe UI" w:hAnsi="Segoe UI"/>
      <w:b w:val="0"/>
      <w:i/>
      <w:color w:val="505050"/>
      <w:sz w:val="21"/>
    </w:rPr>
  </w:style>
  <w:style w:customStyle="1" w:styleId="BookTable" w:type="table">
    <w:name w:val="BookTable"/>
    <w:rPr>
      <w:rFonts w:ascii="Segoe UI" w:cs="Segoe UI" w:eastAsia="Segoe UI" w:hAnsi="Segoe UI"/>
      <w:b w:val="0"/>
      <w:i w:val="0"/>
      <w:color w:val="282828"/>
      <w:sz w:val="18"/>
    </w:rPr>
    <w:tblPr>
      <w:tblBorders>
        <w:top w:color="78411E" w:space="0" w:sz="6" w:val="single"/>
        <w:bottom w:color="78411E" w:space="0" w:sz="6" w:val="single"/>
        <w:insideH w:color="C8B8A8" w:space="0" w:sz="4" w:val="single"/>
      </w:tblBorders>
    </w:tblPr>
  </w:style>
  <w:style w:customStyle="1" w:styleId="BookCaption" w:type="paragraph">
    <w:name w:val="BookCaption"/>
    <w:pPr>
      <w:spacing w:after="160" w:before="0" w:line="240" w:lineRule="auto"/>
      <w:jc w:val="center"/>
    </w:pPr>
    <w:rPr>
      <w:rFonts w:ascii="Open Sans" w:cs="Open Sans" w:eastAsia="Open Sans" w:hAnsi="Open Sans"/>
      <w:b w:val="0"/>
      <w:i/>
      <w:color w:val="8C735A"/>
      <w:sz w:val="18"/>
    </w:rPr>
  </w:style>
  <w:style w:customStyle="1" w:styleId="BookInlineCode" w:type="character">
    <w:name w:val="BookInlineCode"/>
    <w:rPr w:rtl="0">
      <w:rFonts w:ascii="Consolas" w:cs="Consolas" w:eastAsia="Consolas" w:hAnsi="Consolas"/>
      <w:b w:val="0"/>
      <w:i w:val="0"/>
      <w:color w:val="C8823C"/>
      <w:sz w:val="18"/>
    </w:rPr>
  </w:style>
  <w:style w:customStyle="1" w:styleId="BookDate" w:type="paragraph">
    <w:name w:val="BookDate"/>
    <w:pPr>
      <w:spacing w:after="720" w:before="0" w:line="276" w:lineRule="auto"/>
      <w:jc w:val="center"/>
    </w:pPr>
    <w:rPr>
      <w:rFonts w:ascii="Segoe UI" w:cs="Segoe UI" w:eastAsia="Segoe UI" w:hAnsi="Segoe UI"/>
      <w:b w:val="0"/>
      <w:i/>
      <w:color w:val="969696"/>
      <w:sz w:val="21"/>
    </w:rPr>
  </w:style>
  <w:style w:customStyle="1" w:styleId="BookImageCaption" w:type="paragraph">
    <w:name w:val="BookImageCaption"/>
    <w:pPr>
      <w:spacing w:after="240" w:before="120" w:line="240" w:lineRule="auto"/>
      <w:jc w:val="center"/>
    </w:pPr>
    <w:rPr>
      <w:rFonts w:ascii="Open Sans" w:cs="Open Sans" w:eastAsia="Open Sans" w:hAnsi="Open Sans"/>
      <w:b w:val="0"/>
      <w:i/>
      <w:color w:val="8C735A"/>
      <w:sz w:val="18"/>
    </w:rPr>
  </w:style>
  <w:style w:customStyle="1" w:styleId="BookTOC1" w:type="paragraph">
    <w:name w:val="BookTOC1"/>
    <w:pPr>
      <w:spacing w:after="40" w:before="120" w:line="312" w:lineRule="auto"/>
    </w:pPr>
    <w:rPr>
      <w:rFonts w:ascii="Open Sans" w:cs="Open Sans" w:eastAsia="Open Sans" w:hAnsi="Open Sans"/>
      <w:b/>
      <w:i w:val="0"/>
      <w:color w:val="282828"/>
      <w:sz w:val="24"/>
    </w:rPr>
  </w:style>
  <w:style w:customStyle="1" w:styleId="BookTOC2" w:type="paragraph">
    <w:name w:val="BookTOC2"/>
    <w:pPr>
      <w:spacing w:after="40" w:before="40" w:line="288" w:lineRule="auto"/>
      <w:ind w:left="850"/>
    </w:pPr>
    <w:rPr>
      <w:rFonts w:ascii="Open Sans" w:cs="Open Sans" w:eastAsia="Open Sans" w:hAnsi="Open Sans"/>
      <w:b w:val="0"/>
      <w:i w:val="0"/>
      <w:color w:val="282828"/>
      <w:sz w:val="22"/>
    </w:rPr>
  </w:style>
  <w:style w:customStyle="1" w:styleId="BookTOC3" w:type="paragraph">
    <w:name w:val="BookTOC3"/>
    <w:pPr>
      <w:spacing w:after="20" w:before="20" w:line="288" w:lineRule="auto"/>
      <w:ind w:left="1701"/>
    </w:pPr>
    <w:rPr>
      <w:rFonts w:ascii="Open Sans" w:cs="Open Sans" w:eastAsia="Open Sans" w:hAnsi="Open Sans"/>
      <w:b w:val="0"/>
      <w:i w:val="0"/>
      <w:color w:val="505050"/>
      <w:sz w:val="20"/>
    </w:rPr>
  </w:style>
  <w:style w:type="character" w:customStyle="1" w:styleId="KeywordTok">
    <w:name w:val="KeywordTok"/>
    <w:basedOn w:val="VerbatimChar"/>
    <w:rPr>
      <w:b/>
      <w:color w:val="f92672"/>
    </w:rPr>
  </w:style>
  <w:style w:type="character" w:customStyle="1" w:styleId="DataTypeTok">
    <w:name w:val="DataTypeTok"/>
    <w:basedOn w:val="VerbatimChar"/>
    <w:rPr>
      <w:color w:val="a6e22e"/>
    </w:rPr>
  </w:style>
  <w:style w:type="character" w:customStyle="1" w:styleId="DecValTok">
    <w:name w:val="DecValTok"/>
    <w:basedOn w:val="VerbatimChar"/>
    <w:rPr>
      <w:color w:val="ae81ff"/>
    </w:rPr>
  </w:style>
  <w:style w:type="character" w:customStyle="1" w:styleId="BaseNTok">
    <w:name w:val="BaseNTok"/>
    <w:basedOn w:val="VerbatimChar"/>
    <w:rPr>
      <w:color w:val="ae81ff"/>
    </w:rPr>
  </w:style>
  <w:style w:type="character" w:customStyle="1" w:styleId="FloatTok">
    <w:name w:val="FloatTok"/>
    <w:basedOn w:val="VerbatimChar"/>
    <w:rPr>
      <w:color w:val="ae81ff"/>
    </w:rPr>
  </w:style>
  <w:style w:type="character" w:customStyle="1" w:styleId="ConstantTok">
    <w:name w:val="ConstantTok"/>
    <w:basedOn w:val="VerbatimChar"/>
    <w:rPr>
      <w:b/>
      <w:color w:val="ae81ff"/>
    </w:rPr>
  </w:style>
  <w:style w:type="character" w:customStyle="1" w:styleId="CharTok">
    <w:name w:val="CharTok"/>
    <w:basedOn w:val="VerbatimChar"/>
    <w:rPr>
      <w:color w:val="e6db74"/>
    </w:rPr>
  </w:style>
  <w:style w:type="character" w:customStyle="1" w:styleId="SpecialCharTok">
    <w:name w:val="SpecialCharTok"/>
    <w:basedOn w:val="VerbatimChar"/>
    <w:rPr>
      <w:color w:val="e6db74"/>
    </w:rPr>
  </w:style>
  <w:style w:type="character" w:customStyle="1" w:styleId="StringTok">
    <w:name w:val="StringTok"/>
    <w:basedOn w:val="VerbatimChar"/>
    <w:rPr>
      <w:color w:val="e6db74"/>
    </w:rPr>
  </w:style>
  <w:style w:type="character" w:customStyle="1" w:styleId="VerbatimStringTok">
    <w:name w:val="VerbatimStringTok"/>
    <w:basedOn w:val="VerbatimChar"/>
    <w:rPr>
      <w:color w:val="e6db74"/>
    </w:rPr>
  </w:style>
  <w:style w:type="character" w:customStyle="1" w:styleId="SpecialStringTok">
    <w:name w:val="SpecialStringTok"/>
    <w:basedOn w:val="VerbatimChar"/>
    <w:rPr>
      <w:color w:val="e6db74"/>
    </w:rPr>
  </w:style>
  <w:style w:type="character" w:customStyle="1" w:styleId="ImportTok">
    <w:name w:val="ImportTok"/>
    <w:basedOn w:val="VerbatimChar"/>
    <w:rPr>
      <w:color w:val="a6e22e"/>
    </w:rPr>
  </w:style>
  <w:style w:type="character" w:customStyle="1" w:styleId="CommentTok">
    <w:name w:val="CommentTok"/>
    <w:basedOn w:val="VerbatimChar"/>
    <w:rPr>
      <w:color w:val="88846f"/>
    </w:rPr>
  </w:style>
  <w:style w:type="character" w:customStyle="1" w:styleId="DocumentationTok">
    <w:name w:val="DocumentationTok"/>
    <w:basedOn w:val="VerbatimChar"/>
    <w:rPr>
      <w:color w:val="88846f"/>
    </w:rPr>
  </w:style>
  <w:style w:type="character" w:customStyle="1" w:styleId="AnnotationTok">
    <w:name w:val="AnnotationTok"/>
    <w:basedOn w:val="VerbatimChar"/>
    <w:rPr>
      <w:color w:val="88846f"/>
    </w:rPr>
  </w:style>
  <w:style w:type="character" w:customStyle="1" w:styleId="CommentVarTok">
    <w:name w:val="CommentVarTok"/>
    <w:basedOn w:val="VerbatimChar"/>
    <w:rPr>
      <w:color w:val="88846f"/>
    </w:rPr>
  </w:style>
  <w:style w:type="character" w:customStyle="1" w:styleId="OtherTok">
    <w:name w:val="OtherTok"/>
    <w:basedOn w:val="VerbatimChar"/>
    <w:rPr>
      <w:color w:val="a6e22e"/>
    </w:rPr>
  </w:style>
  <w:style w:type="character" w:customStyle="1" w:styleId="FunctionTok">
    <w:name w:val="FunctionTok"/>
    <w:basedOn w:val="VerbatimChar"/>
    <w:rPr>
      <w:color w:val="a6e22e"/>
    </w:rPr>
  </w:style>
  <w:style w:type="character" w:customStyle="1" w:styleId="VariableTok">
    <w:name w:val="VariableTok"/>
    <w:basedOn w:val="VerbatimChar"/>
    <w:rPr>
      <w:color w:val="fd971f"/>
    </w:rPr>
  </w:style>
  <w:style w:type="character" w:customStyle="1" w:styleId="ControlFlowTok">
    <w:name w:val="ControlFlowTok"/>
    <w:basedOn w:val="VerbatimChar"/>
    <w:rPr>
      <w:b/>
      <w:color w:val="f92672"/>
    </w:rPr>
  </w:style>
  <w:style w:type="character" w:customStyle="1" w:styleId="OperatorTok">
    <w:name w:val="OperatorTok"/>
    <w:basedOn w:val="VerbatimChar"/>
    <w:rPr>
      <w:color w:val="f92672"/>
    </w:rPr>
  </w:style>
  <w:style w:type="character" w:customStyle="1" w:styleId="BuiltInTok">
    <w:name w:val="BuiltInTok"/>
    <w:basedOn w:val="VerbatimChar"/>
    <w:rPr>
      <w:color w:val="a6e22e"/>
    </w:rPr>
  </w:style>
  <w:style w:type="character" w:customStyle="1" w:styleId="ExtensionTok">
    <w:name w:val="ExtensionTok"/>
    <w:basedOn w:val="VerbatimChar"/>
    <w:rPr>
      <w:b/>
      <w:color w:val="a6e22e"/>
    </w:rPr>
  </w:style>
  <w:style w:type="character" w:customStyle="1" w:styleId="PreprocessorTok">
    <w:name w:val="PreprocessorTok"/>
    <w:basedOn w:val="VerbatimChar"/>
    <w:rPr>
      <w:color w:val="fd971f"/>
    </w:rPr>
  </w:style>
  <w:style w:type="character" w:customStyle="1" w:styleId="AttributeTok">
    <w:name w:val="AttributeTok"/>
    <w:basedOn w:val="VerbatimChar"/>
    <w:rPr>
      <w:color w:val="fd971f"/>
    </w:rPr>
  </w:style>
  <w:style w:type="character" w:customStyle="1" w:styleId="RegionMarkerTok">
    <w:name w:val="RegionMarkerTok"/>
    <w:basedOn w:val="VerbatimChar"/>
    <w:rPr>
      <w:color w:val="75715e"/>
    </w:rPr>
  </w:style>
  <w:style w:type="character" w:customStyle="1" w:styleId="InformationTok">
    <w:name w:val="InformationTok"/>
    <w:basedOn w:val="VerbatimChar"/>
    <w:rPr>
      <w:color w:val="88846f"/>
    </w:rPr>
  </w:style>
  <w:style w:type="character" w:customStyle="1" w:styleId="WarningTok">
    <w:name w:val="WarningTok"/>
    <w:basedOn w:val="VerbatimChar"/>
    <w:rPr>
      <w:color w:val="f44747"/>
    </w:rPr>
  </w:style>
  <w:style w:type="character" w:customStyle="1" w:styleId="AlertTok">
    <w:name w:val="AlertTok"/>
    <w:basedOn w:val="VerbatimChar"/>
    <w:rPr>
      <w:b/>
      <w:color w:val="f44747"/>
    </w:rPr>
  </w:style>
  <w:style w:type="character" w:customStyle="1" w:styleId="ErrorTok">
    <w:name w:val="ErrorTok"/>
    <w:basedOn w:val="VerbatimChar"/>
    <w:rPr>
      <w:color w:val="f44747"/>
      <w:u/>
    </w:rPr>
  </w:style>
  <w:style w:type="character" w:customStyle="1" w:styleId="NormalTok">
    <w:name w:val="NormalTok"/>
    <w:basedOn w:val="VerbatimChar"/>
    <w:rPr>
      <w:color w:val="cfcfc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22" Type="http://schemas.openxmlformats.org/officeDocument/2006/relationships/image" Target="media/rId22.png"/><Relationship Id="rId1" Type="http://schemas.openxmlformats.org/officeDocument/2006/relationships/image" Target="media/image1.jp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AI-Assisted Professional Engineering with .NET</dc:title>
  <dc:creator/>
  <cp:keywords/>
  <dcterms:created xsi:type="dcterms:W3CDTF">2026-09-28T12:03:53Z</dcterms:created>
  <dcterms:modified xsi:type="dcterms:W3CDTF">2026-09-28T12:03:53Z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