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Satisfactory - Early Locomotion</w:t>
      </w:r>
    </w:p>
    <w:p>
      <w:pPr>
        <w:pStyle w:val="Subtitle"/>
      </w:pPr>
      <w:r>
        <w:t>Project Roadmap</w:t>
      </w:r>
    </w:p>
    <w:p>
      <w:r>
        <w:t>Core direction, current technical position and proposed post-Core ambitions</w:t>
      </w:r>
    </w:p>
    <w:p>
      <w:r>
        <w:t>Maintained from canonical project information • 2 October 2026</w:t>
      </w:r>
    </w:p>
    <w:p>
      <w:pPr>
        <w:pStyle w:val="Heading1"/>
      </w:pPr>
      <w:r>
        <w:t>A distinct early railway</w:t>
      </w:r>
    </w:p>
    <w:p>
      <w:r>
        <w:t>Early Locomotion introduces affordable conventional steam railways before vanilla electric monorail. It should offer useful long-distance bulk transport through cheap track and rolling stock, then ask players to engineer around coal and water supply, servicing time, train weight, signalling limits and large station footprints.</w:t>
      </w:r>
    </w:p>
    <w:p>
      <w:r>
        <w:t>The railway has its own operating identity. It is not simply vanilla trains unlocked earlier. Mature electric rail retains its overall advantage in speed, density, throughput and convenience; steam remains appealing through its character, affordability and operational choices.</w:t>
      </w:r>
    </w:p>
    <w:p>
      <w:pPr>
        <w:pStyle w:val="Heading2"/>
      </w:pPr>
      <w:r>
        <w:t>How to use this roadmap</w:t>
      </w:r>
    </w:p>
    <w:p>
      <w:r>
        <w:t>This is a readable overview and planning roadmap. It is not a new canonical design authority, a release promise or evidence that any gameplay system has been implemented. If it conflicts with canonical project files, those files win.</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4248"/>
            <w:vAlign w:val="center"/>
            <w:tcMar>
              <w:top w:w="100" w:type="dxa"/>
              <w:bottom w:w="100" w:type="dxa"/>
              <w:left w:w="110" w:type="dxa"/>
              <w:right w:w="110" w:type="dxa"/>
            </w:tcMar>
            <w:shd w:fill="E8EDF0"/>
          </w:tcPr>
          <w:p>
            <w:pPr>
              <w:spacing w:after="40" w:line="240" w:lineRule="auto"/>
            </w:pPr>
            <w:r>
              <w:rPr>
                <w:b/>
                <w:sz w:val="21"/>
              </w:rPr>
              <w:t>Canonical file</w:t>
            </w:r>
          </w:p>
        </w:tc>
        <w:tc>
          <w:tcPr>
            <w:tcW w:type="dxa" w:w="5832"/>
            <w:vAlign w:val="center"/>
            <w:tcMar>
              <w:top w:w="100" w:type="dxa"/>
              <w:bottom w:w="100" w:type="dxa"/>
              <w:left w:w="110" w:type="dxa"/>
              <w:right w:w="110" w:type="dxa"/>
            </w:tcMar>
            <w:shd w:fill="E8EDF0"/>
          </w:tcPr>
          <w:p>
            <w:pPr>
              <w:spacing w:after="40" w:line="240" w:lineRule="auto"/>
            </w:pPr>
            <w:r>
              <w:rPr>
                <w:b/>
                <w:sz w:val="21"/>
              </w:rPr>
              <w:t>Role</w:t>
            </w:r>
          </w:p>
        </w:tc>
      </w:tr>
      <w:tr>
        <w:trPr>
          <w:cantSplit/>
        </w:trPr>
        <w:tc>
          <w:tcPr>
            <w:tcW w:type="dxa" w:w="4248"/>
            <w:vAlign w:val="center"/>
            <w:tcMar>
              <w:top w:w="100" w:type="dxa"/>
              <w:bottom w:w="100" w:type="dxa"/>
              <w:left w:w="110" w:type="dxa"/>
              <w:right w:w="110" w:type="dxa"/>
            </w:tcMar>
          </w:tcPr>
          <w:p>
            <w:pPr>
              <w:spacing w:after="40" w:line="240" w:lineRule="auto"/>
            </w:pPr>
            <w:r>
              <w:rPr>
                <w:b w:val="0"/>
                <w:sz w:val="21"/>
              </w:rPr>
              <w:t>INDEX.md</w:t>
            </w:r>
          </w:p>
        </w:tc>
        <w:tc>
          <w:tcPr>
            <w:tcW w:type="dxa" w:w="5832"/>
            <w:vAlign w:val="center"/>
            <w:tcMar>
              <w:top w:w="100" w:type="dxa"/>
              <w:bottom w:w="100" w:type="dxa"/>
              <w:left w:w="110" w:type="dxa"/>
              <w:right w:w="110" w:type="dxa"/>
            </w:tcMar>
          </w:tcPr>
          <w:p>
            <w:pPr>
              <w:spacing w:after="40" w:line="240" w:lineRule="auto"/>
            </w:pPr>
            <w:r>
              <w:rPr>
                <w:b w:val="0"/>
                <w:sz w:val="21"/>
              </w:rPr>
              <w:t>Project overview, navigation and current status</w:t>
            </w:r>
          </w:p>
        </w:tc>
      </w:tr>
      <w:tr>
        <w:trPr>
          <w:cantSplit/>
        </w:trPr>
        <w:tc>
          <w:tcPr>
            <w:tcW w:type="dxa" w:w="4248"/>
            <w:vAlign w:val="center"/>
            <w:tcMar>
              <w:top w:w="100" w:type="dxa"/>
              <w:bottom w:w="100" w:type="dxa"/>
              <w:left w:w="110" w:type="dxa"/>
              <w:right w:w="110" w:type="dxa"/>
            </w:tcMar>
          </w:tcPr>
          <w:p>
            <w:pPr>
              <w:spacing w:after="40" w:line="240" w:lineRule="auto"/>
            </w:pPr>
            <w:r>
              <w:rPr>
                <w:b w:val="0"/>
                <w:sz w:val="21"/>
              </w:rPr>
              <w:t>Design/GAME_DESIGN.md</w:t>
            </w:r>
          </w:p>
        </w:tc>
        <w:tc>
          <w:tcPr>
            <w:tcW w:type="dxa" w:w="5832"/>
            <w:vAlign w:val="center"/>
            <w:tcMar>
              <w:top w:w="100" w:type="dxa"/>
              <w:bottom w:w="100" w:type="dxa"/>
              <w:left w:w="110" w:type="dxa"/>
              <w:right w:w="110" w:type="dxa"/>
            </w:tcMar>
          </w:tcPr>
          <w:p>
            <w:pPr>
              <w:spacing w:after="40" w:line="240" w:lineRule="auto"/>
            </w:pPr>
            <w:r>
              <w:rPr>
                <w:b w:val="0"/>
                <w:sz w:val="21"/>
              </w:rPr>
              <w:t>Canonical gameplay and design authority</w:t>
            </w:r>
          </w:p>
        </w:tc>
      </w:tr>
      <w:tr>
        <w:trPr>
          <w:cantSplit/>
        </w:trPr>
        <w:tc>
          <w:tcPr>
            <w:tcW w:type="dxa" w:w="4248"/>
            <w:vAlign w:val="center"/>
            <w:tcMar>
              <w:top w:w="100" w:type="dxa"/>
              <w:bottom w:w="100" w:type="dxa"/>
              <w:left w:w="110" w:type="dxa"/>
              <w:right w:w="110" w:type="dxa"/>
            </w:tcMar>
          </w:tcPr>
          <w:p>
            <w:pPr>
              <w:spacing w:after="40" w:line="240" w:lineRule="auto"/>
            </w:pPr>
            <w:r>
              <w:rPr>
                <w:b w:val="0"/>
                <w:sz w:val="21"/>
              </w:rPr>
              <w:t>Development/PROGRESS_LOG.md</w:t>
            </w:r>
          </w:p>
        </w:tc>
        <w:tc>
          <w:tcPr>
            <w:tcW w:type="dxa" w:w="5832"/>
            <w:vAlign w:val="center"/>
            <w:tcMar>
              <w:top w:w="100" w:type="dxa"/>
              <w:bottom w:w="100" w:type="dxa"/>
              <w:left w:w="110" w:type="dxa"/>
              <w:right w:w="110" w:type="dxa"/>
            </w:tcMar>
          </w:tcPr>
          <w:p>
            <w:pPr>
              <w:spacing w:after="40" w:line="240" w:lineRule="auto"/>
            </w:pPr>
            <w:r>
              <w:rPr>
                <w:b w:val="0"/>
                <w:sz w:val="21"/>
              </w:rPr>
              <w:t>Current checkpoint, work history and exact next action</w:t>
            </w:r>
          </w:p>
        </w:tc>
      </w:tr>
      <w:tr>
        <w:trPr>
          <w:cantSplit/>
        </w:trPr>
        <w:tc>
          <w:tcPr>
            <w:tcW w:type="dxa" w:w="4248"/>
            <w:vAlign w:val="center"/>
            <w:tcMar>
              <w:top w:w="100" w:type="dxa"/>
              <w:bottom w:w="100" w:type="dxa"/>
              <w:left w:w="110" w:type="dxa"/>
              <w:right w:w="110" w:type="dxa"/>
            </w:tcMar>
          </w:tcPr>
          <w:p>
            <w:pPr>
              <w:spacing w:after="40" w:line="240" w:lineRule="auto"/>
            </w:pPr>
            <w:r>
              <w:rPr>
                <w:b w:val="0"/>
                <w:sz w:val="21"/>
              </w:rPr>
              <w:t>Development/TECHNICAL_ENVIRONMENT.md</w:t>
            </w:r>
          </w:p>
        </w:tc>
        <w:tc>
          <w:tcPr>
            <w:tcW w:type="dxa" w:w="5832"/>
            <w:vAlign w:val="center"/>
            <w:tcMar>
              <w:top w:w="100" w:type="dxa"/>
              <w:bottom w:w="100" w:type="dxa"/>
              <w:left w:w="110" w:type="dxa"/>
              <w:right w:w="110" w:type="dxa"/>
            </w:tcMar>
          </w:tcPr>
          <w:p>
            <w:pPr>
              <w:spacing w:after="40" w:line="240" w:lineRule="auto"/>
            </w:pPr>
            <w:r>
              <w:rPr>
                <w:b w:val="0"/>
                <w:sz w:val="21"/>
              </w:rPr>
              <w:t>Verified technical facts and environment evidence</w:t>
            </w:r>
          </w:p>
        </w:tc>
      </w:tr>
      <w:tr>
        <w:trPr>
          <w:cantSplit/>
        </w:trPr>
        <w:tc>
          <w:tcPr>
            <w:tcW w:type="dxa" w:w="4248"/>
            <w:vAlign w:val="center"/>
            <w:tcMar>
              <w:top w:w="100" w:type="dxa"/>
              <w:bottom w:w="100" w:type="dxa"/>
              <w:left w:w="110" w:type="dxa"/>
              <w:right w:w="110" w:type="dxa"/>
            </w:tcMar>
          </w:tcPr>
          <w:p>
            <w:pPr>
              <w:spacing w:after="40" w:line="240" w:lineRule="auto"/>
            </w:pPr>
            <w:r>
              <w:rPr>
                <w:b w:val="0"/>
                <w:sz w:val="21"/>
              </w:rPr>
              <w:t>CHANGELOG.md</w:t>
            </w:r>
          </w:p>
        </w:tc>
        <w:tc>
          <w:tcPr>
            <w:tcW w:type="dxa" w:w="5832"/>
            <w:vAlign w:val="center"/>
            <w:tcMar>
              <w:top w:w="100" w:type="dxa"/>
              <w:bottom w:w="100" w:type="dxa"/>
              <w:left w:w="110" w:type="dxa"/>
              <w:right w:w="110" w:type="dxa"/>
            </w:tcMar>
          </w:tcPr>
          <w:p>
            <w:pPr>
              <w:spacing w:after="40" w:line="240" w:lineRule="auto"/>
            </w:pPr>
            <w:r>
              <w:rPr>
                <w:b w:val="0"/>
                <w:sz w:val="21"/>
              </w:rPr>
              <w:t>meaningful project, design, and implementation history</w:t>
            </w:r>
          </w:p>
        </w:tc>
      </w:tr>
      <w:tr>
        <w:trPr>
          <w:cantSplit/>
        </w:trPr>
        <w:tc>
          <w:tcPr>
            <w:tcW w:type="dxa" w:w="4248"/>
            <w:vAlign w:val="center"/>
            <w:tcMar>
              <w:top w:w="100" w:type="dxa"/>
              <w:bottom w:w="100" w:type="dxa"/>
              <w:left w:w="110" w:type="dxa"/>
              <w:right w:w="110" w:type="dxa"/>
            </w:tcMar>
          </w:tcPr>
          <w:p>
            <w:pPr>
              <w:spacing w:after="40" w:line="240" w:lineRule="auto"/>
            </w:pPr>
            <w:r>
              <w:rPr>
                <w:b w:val="0"/>
                <w:sz w:val="21"/>
              </w:rPr>
              <w:t>WORKFLOW.md</w:t>
            </w:r>
          </w:p>
        </w:tc>
        <w:tc>
          <w:tcPr>
            <w:tcW w:type="dxa" w:w="5832"/>
            <w:vAlign w:val="center"/>
            <w:tcMar>
              <w:top w:w="100" w:type="dxa"/>
              <w:bottom w:w="100" w:type="dxa"/>
              <w:left w:w="110" w:type="dxa"/>
              <w:right w:w="110" w:type="dxa"/>
            </w:tcMar>
          </w:tcPr>
          <w:p>
            <w:pPr>
              <w:spacing w:after="40" w:line="240" w:lineRule="auto"/>
            </w:pPr>
            <w:r>
              <w:rPr>
                <w:b w:val="0"/>
                <w:sz w:val="21"/>
              </w:rPr>
              <w:t>coordination and change discipline</w:t>
            </w:r>
          </w:p>
        </w:tc>
      </w:tr>
      <w:tr>
        <w:trPr>
          <w:cantSplit/>
        </w:trPr>
        <w:tc>
          <w:tcPr>
            <w:tcW w:type="dxa" w:w="4248"/>
            <w:vAlign w:val="center"/>
            <w:tcMar>
              <w:top w:w="100" w:type="dxa"/>
              <w:bottom w:w="100" w:type="dxa"/>
              <w:left w:w="110" w:type="dxa"/>
              <w:right w:w="110" w:type="dxa"/>
            </w:tcMar>
          </w:tcPr>
          <w:p>
            <w:pPr>
              <w:spacing w:after="40" w:line="240" w:lineRule="auto"/>
            </w:pPr>
            <w:r>
              <w:rPr>
                <w:b w:val="0"/>
                <w:sz w:val="21"/>
              </w:rPr>
              <w:t>Development/SPECIALIST_DELEGATION.md</w:t>
            </w:r>
          </w:p>
        </w:tc>
        <w:tc>
          <w:tcPr>
            <w:tcW w:type="dxa" w:w="5832"/>
            <w:vAlign w:val="center"/>
            <w:tcMar>
              <w:top w:w="100" w:type="dxa"/>
              <w:bottom w:w="100" w:type="dxa"/>
              <w:left w:w="110" w:type="dxa"/>
              <w:right w:w="110" w:type="dxa"/>
            </w:tcMar>
          </w:tcPr>
          <w:p>
            <w:pPr>
              <w:spacing w:after="40" w:line="240" w:lineRule="auto"/>
            </w:pPr>
            <w:r>
              <w:rPr>
                <w:b w:val="0"/>
                <w:sz w:val="21"/>
              </w:rPr>
              <w:t>detailed specialist selection, model/effort, task, handoff, and verification rules</w:t>
            </w:r>
          </w:p>
        </w:tc>
      </w:tr>
      <w:tr>
        <w:trPr>
          <w:cantSplit/>
        </w:trPr>
        <w:tc>
          <w:tcPr>
            <w:tcW w:type="dxa" w:w="4248"/>
            <w:vAlign w:val="center"/>
            <w:tcMar>
              <w:top w:w="100" w:type="dxa"/>
              <w:bottom w:w="100" w:type="dxa"/>
              <w:left w:w="110" w:type="dxa"/>
              <w:right w:w="110" w:type="dxa"/>
            </w:tcMar>
          </w:tcPr>
          <w:p>
            <w:pPr>
              <w:spacing w:after="40" w:line="240" w:lineRule="auto"/>
            </w:pPr>
            <w:r>
              <w:rPr>
                <w:b w:val="0"/>
                <w:sz w:val="21"/>
              </w:rPr>
              <w:t>CLAUDE.md</w:t>
            </w:r>
          </w:p>
        </w:tc>
        <w:tc>
          <w:tcPr>
            <w:tcW w:type="dxa" w:w="5832"/>
            <w:vAlign w:val="center"/>
            <w:tcMar>
              <w:top w:w="100" w:type="dxa"/>
              <w:bottom w:w="100" w:type="dxa"/>
              <w:left w:w="110" w:type="dxa"/>
              <w:right w:w="110" w:type="dxa"/>
            </w:tcMar>
          </w:tcPr>
          <w:p>
            <w:pPr>
              <w:spacing w:after="40" w:line="240" w:lineRule="auto"/>
            </w:pPr>
            <w:r>
              <w:rPr>
                <w:b w:val="0"/>
                <w:sz w:val="21"/>
              </w:rPr>
              <w:t>Claude-specific implementation rules</w:t>
            </w:r>
          </w:p>
        </w:tc>
      </w:tr>
    </w:tbl>
    <w:p/>
    <w:p>
      <w:r>
        <w:t>WORKFLOW.md explains coordination and change discipline; Development/SPECIALIST_DELEGATION.md contains detailed delegation and verification rules; CLAUDE.md retains implementation guidance. ROADMAP.docx stays outside the authority chain. Use Word’s Navigation Pane and built-in headings to navigate or collapse sections.</w:t>
      </w:r>
    </w:p>
    <w:p>
      <w:r>
        <w:br w:type="page"/>
      </w:r>
    </w:p>
    <w:p>
      <w:pPr>
        <w:pStyle w:val="Heading1"/>
      </w:pPr>
      <w:r>
        <w:t>Current project position</w:t>
      </w:r>
    </w:p>
    <w:p>
      <w:pPr>
        <w:pStyle w:val="Heading2"/>
      </w:pPr>
      <w:r>
        <w:t>Verified foundation</w:t>
      </w:r>
    </w:p>
    <w:p>
      <w:r>
        <w:t>The recorded target is Satisfactory 1.2 with SML 3.12.0 / 3.12.x and Coffee Stain Unreal Engine 5.6.1-CSS. Visual Studio project generation succeeded. FactoryGame Development Editor / Win64 built successfully on 20 September: 12 succeeded and 0 failed. The editor opened and loaded FactoryGame/SML on 26 September, and SML 3.12.0 initialized. At C:\SML on 2 October, project regeneration and Development Editor / Win64 build succeeded (488.10 seconds); the editor/probe Blueprint loaded successfully.</w:t>
      </w:r>
    </w:p>
    <w:p>
      <w:r>
        <w:t>Wwise integration is functioning after enabling Object GUID, Object Path, Max Attenuation and Estimated Duration metadata and regenerating SoundBanks. The remaining all-banks metadata efficiency message is advisory. Turnkey’s System.Windows.Forms assembly issue remains unresolved and deferred; it has not blocked generation, build or editor launch. Wwise survived relocation and reported UpdateDataStructure: Done. The shorter workspace removed UBT's 260-character Shipping path blocker. Probe-only Windows Shipping packaging/deployment succeeded (ExitCode 0; about 6 minutes 41 seconds), with both server targets and game launch disabled.</w:t>
      </w:r>
    </w:p>
    <w:p>
      <w:pPr>
        <w:pStyle w:val="Heading2"/>
      </w:pPr>
      <w:r>
        <w:t>Runtime result and remaining limits</w:t>
      </w:r>
    </w:p>
    <w:p>
      <w:r>
        <w:t>Retail Runtime Probe 1 is completed and analysed from observation and FactoryGame.log. Two separately placed probes verified AFGLocomotive subclass construction, vanilla rail attachment, input, braking and movement from rest with HasPower=false. Final architecture and production gameplay remain unresolved.</w:t>
      </w:r>
    </w:p>
    <w:p>
      <w:pPr>
        <w:pStyle w:val="Heading2"/>
      </w:pPr>
      <w:r>
        <w:t>Exact next action</w:t>
      </w:r>
    </w:p>
    <w:p>
      <w:r>
        <w:t>Restore the successful working probe with SetTractivePowerFactor(1.f) active and UpdatePower() remaining a no-op, then begin normal railway integration with vanilla wagon coupling. Restoration and coupling testing are not yet completed.</w:t>
      </w:r>
    </w:p>
    <w:p>
      <w:pPr>
        <w:pStyle w:val="ListBullet"/>
      </w:pPr>
      <w:r>
        <w:t>Three-way control completed: vanilla did not move; the working EL probe moved without power; disabling only SetTractivePowerFactor left force and speed at zero despite input and released air brake (165 samples).</w:t>
      </w:r>
    </w:p>
    <w:p>
      <w:pPr>
        <w:pStyle w:val="ListBullet"/>
      </w:pPr>
      <w:r>
        <w:t>Camera rotation, normal locomotive UI and exit placement remain residuals; they do not currently invalidate the traction and rail integration result.</w:t>
      </w:r>
    </w:p>
    <w:p>
      <w:r>
        <w:t>Within the tested implementation, SetTractivePowerFactor(1.f) is necessary for unpowered traction; no-op UpdatePower alone is insufficient. This does not select final architecture or verify coupling, stations, timetables, save/load or multiplayer.</w:t>
      </w:r>
    </w:p>
    <w:p>
      <w:pPr>
        <w:pStyle w:val="Heading2"/>
      </w:pPr>
      <w:r>
        <w:t>The two local roots</w:t>
      </w:r>
    </w:p>
    <w:p>
      <w:r>
        <w:t>Canonical project/docs: C:\Users\a156b\Documents\Satisfactory - Early Locomotion. Active SML/implementation workspace: C:\SML. Keep documentation authority separate from the implementation workspace; the relocation safety backup is temporary recovery material.</w:t>
      </w:r>
    </w:p>
    <w:p>
      <w:r>
        <w:br w:type="page"/>
      </w:r>
    </w:p>
    <w:p>
      <w:pPr>
        <w:pStyle w:val="Heading1"/>
      </w:pPr>
      <w:r>
        <w:t>The Core railway experience</w:t>
      </w:r>
    </w:p>
    <w:p>
      <w:pPr>
        <w:pStyle w:val="Heading2"/>
      </w:pPr>
      <w:r>
        <w:t>Track and progressive introduction</w:t>
      </w:r>
    </w:p>
    <w:p>
      <w:r>
        <w:t>Agreed: conventional two-rail track, primarily Iron Plates and Iron Rods, is inexpensive and convenient to build. Steam and vanilla beam-based monorail rolling stock are physically incompatible. Balance comes from operation rather than repetitive construction chores.</w:t>
      </w:r>
    </w:p>
    <w:p>
      <w:r>
        <w:t>Agreed: a simple first railway remains approachable, with complexity introduced progressively. The Tier 3 starter / later Medium / Heavy Steam / Tier 6 monorail outline remains provisional. Exact milestones, prerequisites, recipes, service-point unlocks and geometry limits are open. The 150 m segment example is Proposed, not a construction specification.</w:t>
      </w:r>
    </w:p>
    <w:p>
      <w:pPr>
        <w:pStyle w:val="Heading2"/>
      </w:pPr>
      <w:r>
        <w:t>Three useful locomotive roles</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1512"/>
            <w:vAlign w:val="center"/>
            <w:tcMar>
              <w:top w:w="100" w:type="dxa"/>
              <w:bottom w:w="100" w:type="dxa"/>
              <w:left w:w="110" w:type="dxa"/>
              <w:right w:w="110" w:type="dxa"/>
            </w:tcMar>
            <w:shd w:fill="E8EDF0"/>
          </w:tcPr>
          <w:p>
            <w:pPr>
              <w:spacing w:after="40" w:line="240" w:lineRule="auto"/>
            </w:pPr>
            <w:r>
              <w:rPr>
                <w:b/>
                <w:sz w:val="21"/>
              </w:rPr>
              <w:t>Core role</w:t>
            </w:r>
          </w:p>
        </w:tc>
        <w:tc>
          <w:tcPr>
            <w:tcW w:type="dxa" w:w="8568"/>
            <w:vAlign w:val="center"/>
            <w:tcMar>
              <w:top w:w="100" w:type="dxa"/>
              <w:bottom w:w="100" w:type="dxa"/>
              <w:left w:w="110" w:type="dxa"/>
              <w:right w:w="110" w:type="dxa"/>
            </w:tcMar>
            <w:shd w:fill="E8EDF0"/>
          </w:tcPr>
          <w:p>
            <w:pPr>
              <w:spacing w:after="40" w:line="240" w:lineRule="auto"/>
            </w:pPr>
            <w:r>
              <w:rPr>
                <w:b/>
                <w:sz w:val="21"/>
              </w:rPr>
              <w:t>Operating identity</w:t>
            </w:r>
          </w:p>
        </w:tc>
      </w:tr>
      <w:tr>
        <w:trPr>
          <w:cantSplit/>
        </w:trPr>
        <w:tc>
          <w:tcPr>
            <w:tcW w:type="dxa" w:w="1512"/>
            <w:vAlign w:val="center"/>
            <w:tcMar>
              <w:top w:w="100" w:type="dxa"/>
              <w:bottom w:w="100" w:type="dxa"/>
              <w:left w:w="110" w:type="dxa"/>
              <w:right w:w="110" w:type="dxa"/>
            </w:tcMar>
          </w:tcPr>
          <w:p>
            <w:pPr>
              <w:spacing w:after="40" w:line="240" w:lineRule="auto"/>
            </w:pPr>
            <w:r>
              <w:rPr>
                <w:b w:val="0"/>
                <w:sz w:val="21"/>
              </w:rPr>
              <w:t>Small</w:t>
            </w:r>
          </w:p>
        </w:tc>
        <w:tc>
          <w:tcPr>
            <w:tcW w:type="dxa" w:w="8568"/>
            <w:vAlign w:val="center"/>
            <w:tcMar>
              <w:top w:w="100" w:type="dxa"/>
              <w:bottom w:w="100" w:type="dxa"/>
              <w:left w:w="110" w:type="dxa"/>
              <w:right w:w="110" w:type="dxa"/>
            </w:tcMar>
          </w:tcPr>
          <w:p>
            <w:pPr>
              <w:spacing w:after="40" w:line="240" w:lineRule="auto"/>
            </w:pPr>
            <w:r>
              <w:rPr>
                <w:b w:val="0"/>
                <w:sz w:val="21"/>
              </w:rPr>
              <w:t>Affordable industrial/local work; economical with short trains, limited hauling and range</w:t>
            </w:r>
          </w:p>
        </w:tc>
      </w:tr>
      <w:tr>
        <w:trPr>
          <w:cantSplit/>
        </w:trPr>
        <w:tc>
          <w:tcPr>
            <w:tcW w:type="dxa" w:w="1512"/>
            <w:vAlign w:val="center"/>
            <w:tcMar>
              <w:top w:w="100" w:type="dxa"/>
              <w:bottom w:w="100" w:type="dxa"/>
              <w:left w:w="110" w:type="dxa"/>
              <w:right w:w="110" w:type="dxa"/>
            </w:tcMar>
          </w:tcPr>
          <w:p>
            <w:pPr>
              <w:spacing w:after="40" w:line="240" w:lineRule="auto"/>
            </w:pPr>
            <w:r>
              <w:rPr>
                <w:b w:val="0"/>
                <w:sz w:val="21"/>
              </w:rPr>
              <w:t>Medium</w:t>
            </w:r>
          </w:p>
        </w:tc>
        <w:tc>
          <w:tcPr>
            <w:tcW w:type="dxa" w:w="8568"/>
            <w:vAlign w:val="center"/>
            <w:tcMar>
              <w:top w:w="100" w:type="dxa"/>
              <w:bottom w:w="100" w:type="dxa"/>
              <w:left w:w="110" w:type="dxa"/>
              <w:right w:w="110" w:type="dxa"/>
            </w:tcMar>
          </w:tcPr>
          <w:p>
            <w:pPr>
              <w:spacing w:after="40" w:line="240" w:lineRule="auto"/>
            </w:pPr>
            <w:r>
              <w:rPr>
                <w:b w:val="0"/>
                <w:sz w:val="21"/>
              </w:rPr>
              <w:t>Range and lighter long-distance/mixed freight; fastest-steam role remains Proposed</w:t>
            </w:r>
          </w:p>
        </w:tc>
      </w:tr>
      <w:tr>
        <w:trPr>
          <w:cantSplit/>
        </w:trPr>
        <w:tc>
          <w:tcPr>
            <w:tcW w:type="dxa" w:w="1512"/>
            <w:vAlign w:val="center"/>
            <w:tcMar>
              <w:top w:w="100" w:type="dxa"/>
              <w:bottom w:w="100" w:type="dxa"/>
              <w:left w:w="110" w:type="dxa"/>
              <w:right w:w="110" w:type="dxa"/>
            </w:tcMar>
          </w:tcPr>
          <w:p>
            <w:pPr>
              <w:spacing w:after="40" w:line="240" w:lineRule="auto"/>
            </w:pPr>
            <w:r>
              <w:rPr>
                <w:b w:val="0"/>
                <w:sz w:val="21"/>
              </w:rPr>
              <w:t>Large</w:t>
            </w:r>
          </w:p>
        </w:tc>
        <w:tc>
          <w:tcPr>
            <w:tcW w:type="dxa" w:w="8568"/>
            <w:vAlign w:val="center"/>
            <w:tcMar>
              <w:top w:w="100" w:type="dxa"/>
              <w:bottom w:w="100" w:type="dxa"/>
              <w:left w:w="110" w:type="dxa"/>
              <w:right w:w="110" w:type="dxa"/>
            </w:tcMar>
          </w:tcPr>
          <w:p>
            <w:pPr>
              <w:spacing w:after="40" w:line="240" w:lineRule="auto"/>
            </w:pPr>
            <w:r>
              <w:rPr>
                <w:b w:val="0"/>
                <w:sz w:val="21"/>
              </w:rPr>
              <w:t>Heavy freight and high traction, with greater supplies, servicing and footprint</w:t>
            </w:r>
          </w:p>
        </w:tc>
      </w:tr>
    </w:tbl>
    <w:p/>
    <w:p>
      <w:r>
        <w:t>Each supported Core region ultimately supplies one Small, Medium and Large locomotive. They may have individual statistics. The small roster, broad roles and accessible UX create simplicity; a larger class must not erase smaller engines’ usefulness. Exact launch regions and final values remain open.</w:t>
      </w:r>
    </w:p>
    <w:p>
      <w:pPr>
        <w:pStyle w:val="Heading2"/>
      </w:pPr>
      <w:r>
        <w:t>Wagons and operational balance</w:t>
      </w:r>
    </w:p>
    <w:p>
      <w:r>
        <w:t>Agreed: steam wagons are cheaper and lower capacity than vanilla freight cars. The 16–24-stack range is a Playtest Target, not a final capacity. Item/fluid roster, dimensions, costs and platform compatibility remain open. Train mass, acceleration, gradients, station dwell and supply logistics must be assessed together.</w:t>
      </w:r>
    </w:p>
    <w:p>
      <w:pPr>
        <w:pStyle w:val="Heading2"/>
      </w:pPr>
      <w:r>
        <w:t>Conversion and build navigation</w:t>
      </w:r>
    </w:p>
    <w:p>
      <w:r>
        <w:t>Agreed: an eventual route-preserving upgrade to vanilla monorail should be supported where feasible; steam and monorail remain physically incompatible. Conversion geometry, station replacement and safeguards remain Proposed/Open under OQ12. A dedicated top-level Early Locomotion build category is Proposed; exact grouping and technical support remain OQ19.</w:t>
      </w:r>
    </w:p>
    <w:p>
      <w:pPr>
        <w:pStyle w:val="Heading2"/>
        <w:keepNext/>
      </w:pPr>
      <w:r>
        <w:t>Core fleet identity and numbering</w:t>
      </w:r>
    </w:p>
    <w:p>
      <w:pPr/>
      <w:r>
        <w:t>Agreed Core includes stable hidden Fleet Identity, automatic visible running numbers, world Standardised / Historical Operator modes, remembered regional/manual numbers, cheap renumber-unlock direction and class/number fleet search. Normal engines are normally unnamed; livery alone does not renumber them. Storage, historical rules, cost and UI remain OQ28–OQ30; no implementation is claimed.</w:t>
      </w:r>
    </w:p>
    <w:p>
      <w:r>
        <w:t>Core 1.0 must be complete, polished and satisfying. Expansions must not delay first playable/Core or deliberately weaken Core engines to create paid-pack value.</w:t>
      </w:r>
    </w:p>
    <w:p>
      <w:r>
        <w:br w:type="page"/>
      </w:r>
    </w:p>
    <w:p>
      <w:pPr>
        <w:pStyle w:val="Heading1"/>
      </w:pPr>
      <w:r>
        <w:t>Coal water and servicing</w:t>
      </w:r>
    </w:p>
    <w:p>
      <w:pPr>
        <w:pStyle w:val="Heading2"/>
      </w:pPr>
      <w:r>
        <w:t>Supply creates operational choices</w:t>
      </w:r>
    </w:p>
    <w:p>
      <w:r>
        <w:t>Agreed: locomotives carry coal and water, with range emerging from capacity and operating consumption. Load, acceleration and climbing increase demand; coasting uses less. Water is generally the tighter limit. Compacted Coal efficiency should derive from the game’s fuel-energy system; water savings are not established.</w:t>
      </w:r>
    </w:p>
    <w:p>
      <w:r>
        <w:t>Published range examples and dwell estimates remain Playtest Targets or proposals. Transfer rates, fuel support, station buffers, depleted-supply behaviour and final consumption curves are open. Range must not become an arbitrary distance countdown.</w:t>
      </w:r>
    </w:p>
    <w:p>
      <w:pPr>
        <w:pStyle w:val="Heading2"/>
      </w:pPr>
      <w:r>
        <w:t>Stations</w:t>
      </w:r>
    </w:p>
    <w:p>
      <w:r>
        <w:t>Agreed: a steam station is substantially larger than a vanilla station, with coal/water equipment and an integrated signal box. Coal arrives by conveyor and water by pipe. The engine approaches slowly, settles, hisses and receives visible supplies at its actual model-specific bunker/tender and water hatch.</w:t>
      </w:r>
    </w:p>
    <w:p>
      <w:r>
        <w:t>Proposed: machinery retracts before departure and uses model-defined servicing targets. Target/socket names in GAME_DESIGN are interface proposals, not verified APIs. Station reach, clearances, simultaneous loading/refilling and multiple-locomotive handling remain open.</w:t>
      </w:r>
    </w:p>
    <w:p>
      <w:pPr>
        <w:pStyle w:val="Heading2"/>
      </w:pPr>
      <w:r>
        <w:t>Service points and tenders</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880"/>
            <w:vAlign w:val="center"/>
            <w:tcMar>
              <w:top w:w="100" w:type="dxa"/>
              <w:bottom w:w="100" w:type="dxa"/>
              <w:left w:w="110" w:type="dxa"/>
              <w:right w:w="110" w:type="dxa"/>
            </w:tcMar>
            <w:shd w:fill="E8EDF0"/>
          </w:tcPr>
          <w:p>
            <w:pPr>
              <w:spacing w:after="40" w:line="240" w:lineRule="auto"/>
            </w:pPr>
            <w:r>
              <w:rPr>
                <w:b/>
                <w:sz w:val="21"/>
              </w:rPr>
              <w:t>Element</w:t>
            </w:r>
          </w:p>
        </w:tc>
        <w:tc>
          <w:tcPr>
            <w:tcW w:type="dxa" w:w="7200"/>
            <w:vAlign w:val="center"/>
            <w:tcMar>
              <w:top w:w="100" w:type="dxa"/>
              <w:bottom w:w="100" w:type="dxa"/>
              <w:left w:w="110" w:type="dxa"/>
              <w:right w:w="110" w:type="dxa"/>
            </w:tcMar>
            <w:shd w:fill="E8EDF0"/>
          </w:tcPr>
          <w:p>
            <w:pPr>
              <w:spacing w:after="40" w:line="240" w:lineRule="auto"/>
            </w:pPr>
            <w:r>
              <w:rPr>
                <w:b/>
                <w:sz w:val="21"/>
              </w:rPr>
              <w:t>Status and purpose</w:t>
            </w:r>
          </w:p>
        </w:tc>
      </w:tr>
      <w:tr>
        <w:trPr>
          <w:cantSplit/>
        </w:trPr>
        <w:tc>
          <w:tcPr>
            <w:tcW w:type="dxa" w:w="2880"/>
            <w:vAlign w:val="center"/>
            <w:tcMar>
              <w:top w:w="100" w:type="dxa"/>
              <w:bottom w:w="100" w:type="dxa"/>
              <w:left w:w="110" w:type="dxa"/>
              <w:right w:w="110" w:type="dxa"/>
            </w:tcMar>
          </w:tcPr>
          <w:p>
            <w:pPr>
              <w:spacing w:after="40" w:line="240" w:lineRule="auto"/>
            </w:pPr>
            <w:r>
              <w:rPr>
                <w:b w:val="0"/>
                <w:sz w:val="21"/>
              </w:rPr>
              <w:t>Independent service stops</w:t>
            </w:r>
          </w:p>
        </w:tc>
        <w:tc>
          <w:tcPr>
            <w:tcW w:type="dxa" w:w="7200"/>
            <w:vAlign w:val="center"/>
            <w:tcMar>
              <w:top w:w="100" w:type="dxa"/>
              <w:bottom w:w="100" w:type="dxa"/>
              <w:left w:w="110" w:type="dxa"/>
              <w:right w:w="110" w:type="dxa"/>
            </w:tcMar>
          </w:tcPr>
          <w:p>
            <w:pPr>
              <w:spacing w:after="40" w:line="240" w:lineRule="auto"/>
            </w:pPr>
            <w:r>
              <w:rPr>
                <w:b w:val="0"/>
                <w:sz w:val="21"/>
              </w:rPr>
              <w:t>Agreed: replenish supplies without requiring a full cargo station; trains pay a time cost</w:t>
            </w:r>
          </w:p>
        </w:tc>
      </w:tr>
      <w:tr>
        <w:trPr>
          <w:cantSplit/>
        </w:trPr>
        <w:tc>
          <w:tcPr>
            <w:tcW w:type="dxa" w:w="2880"/>
            <w:vAlign w:val="center"/>
            <w:tcMar>
              <w:top w:w="100" w:type="dxa"/>
              <w:bottom w:w="100" w:type="dxa"/>
              <w:left w:w="110" w:type="dxa"/>
              <w:right w:w="110" w:type="dxa"/>
            </w:tcMar>
          </w:tcPr>
          <w:p>
            <w:pPr>
              <w:spacing w:after="40" w:line="240" w:lineRule="auto"/>
            </w:pPr>
            <w:r>
              <w:rPr>
                <w:b w:val="0"/>
                <w:sz w:val="21"/>
              </w:rPr>
              <w:t>Water/coaling/combined facilities</w:t>
            </w:r>
          </w:p>
        </w:tc>
        <w:tc>
          <w:tcPr>
            <w:tcW w:type="dxa" w:w="7200"/>
            <w:vAlign w:val="center"/>
            <w:tcMar>
              <w:top w:w="100" w:type="dxa"/>
              <w:bottom w:w="100" w:type="dxa"/>
              <w:left w:w="110" w:type="dxa"/>
              <w:right w:w="110" w:type="dxa"/>
            </w:tcMar>
          </w:tcPr>
          <w:p>
            <w:pPr>
              <w:spacing w:after="40" w:line="240" w:lineRule="auto"/>
            </w:pPr>
            <w:r>
              <w:rPr>
                <w:b w:val="0"/>
                <w:sz w:val="21"/>
              </w:rPr>
              <w:t>Proposed catalogue; exact buildables, timetables and signal-box requirements open</w:t>
            </w:r>
          </w:p>
        </w:tc>
      </w:tr>
      <w:tr>
        <w:trPr>
          <w:cantSplit/>
        </w:trPr>
        <w:tc>
          <w:tcPr>
            <w:tcW w:type="dxa" w:w="2880"/>
            <w:vAlign w:val="center"/>
            <w:tcMar>
              <w:top w:w="100" w:type="dxa"/>
              <w:bottom w:w="100" w:type="dxa"/>
              <w:left w:w="110" w:type="dxa"/>
              <w:right w:w="110" w:type="dxa"/>
            </w:tcMar>
          </w:tcPr>
          <w:p>
            <w:pPr>
              <w:spacing w:after="40" w:line="240" w:lineRule="auto"/>
            </w:pPr>
            <w:r>
              <w:rPr>
                <w:b w:val="0"/>
                <w:sz w:val="21"/>
              </w:rPr>
              <w:t>Normal tender</w:t>
            </w:r>
          </w:p>
        </w:tc>
        <w:tc>
          <w:tcPr>
            <w:tcW w:type="dxa" w:w="7200"/>
            <w:vAlign w:val="center"/>
            <w:tcMar>
              <w:top w:w="100" w:type="dxa"/>
              <w:bottom w:w="100" w:type="dxa"/>
              <w:left w:w="110" w:type="dxa"/>
              <w:right w:w="110" w:type="dxa"/>
            </w:tcMar>
          </w:tcPr>
          <w:p>
            <w:pPr>
              <w:spacing w:after="40" w:line="240" w:lineRule="auto"/>
            </w:pPr>
            <w:r>
              <w:rPr>
                <w:b w:val="0"/>
                <w:sz w:val="21"/>
              </w:rPr>
              <w:t>Agreed: belongs to its locomotive’s base design/capacity where applicable</w:t>
            </w:r>
          </w:p>
        </w:tc>
      </w:tr>
      <w:tr>
        <w:trPr>
          <w:cantSplit/>
        </w:trPr>
        <w:tc>
          <w:tcPr>
            <w:tcW w:type="dxa" w:w="2880"/>
            <w:vAlign w:val="center"/>
            <w:tcMar>
              <w:top w:w="100" w:type="dxa"/>
              <w:bottom w:w="100" w:type="dxa"/>
              <w:left w:w="110" w:type="dxa"/>
              <w:right w:w="110" w:type="dxa"/>
            </w:tcMar>
          </w:tcPr>
          <w:p>
            <w:pPr>
              <w:spacing w:after="40" w:line="240" w:lineRule="auto"/>
            </w:pPr>
            <w:r>
              <w:rPr>
                <w:b w:val="0"/>
                <w:sz w:val="21"/>
              </w:rPr>
              <w:t>Auxiliary tender</w:t>
            </w:r>
          </w:p>
        </w:tc>
        <w:tc>
          <w:tcPr>
            <w:tcW w:type="dxa" w:w="7200"/>
            <w:vAlign w:val="center"/>
            <w:tcMar>
              <w:top w:w="100" w:type="dxa"/>
              <w:bottom w:w="100" w:type="dxa"/>
              <w:left w:w="110" w:type="dxa"/>
              <w:right w:w="110" w:type="dxa"/>
            </w:tcMar>
          </w:tcPr>
          <w:p>
            <w:pPr>
              <w:spacing w:after="40" w:line="240" w:lineRule="auto"/>
            </w:pPr>
            <w:r>
              <w:rPr>
                <w:b w:val="0"/>
                <w:sz w:val="21"/>
              </w:rPr>
              <w:t>Agreed: extra range traded against mass, train length and cargo hauling; types/entity/refill rules open</w:t>
            </w:r>
          </w:p>
        </w:tc>
      </w:tr>
    </w:tbl>
    <w:p/>
    <w:p>
      <w:r>
        <w:t>Adding a tender, a service stop or a larger engine should solve different problems with meaningful costs. The Small tank engine has no normal tender; additional weight can worsen its main weakness. Do not turn range-extending vehicles into a free upgrade.</w:t>
      </w:r>
    </w:p>
    <w:p>
      <w:r>
        <w:br w:type="page"/>
      </w:r>
    </w:p>
    <w:p>
      <w:pPr>
        <w:pStyle w:val="Heading1"/>
      </w:pPr>
      <w:r>
        <w:t>Mechanical signalling and control</w:t>
      </w:r>
    </w:p>
    <w:p>
      <w:pPr>
        <w:pStyle w:val="Heading2"/>
      </w:pPr>
      <w:r>
        <w:t>Semaphores and signal boxes</w:t>
      </w:r>
    </w:p>
    <w:p>
      <w:r>
        <w:t>Agreed: semaphores divide track into blocks with maximum permitted block lengths and impose operating limits. Signals belong to boxes with finite capacity and territory. Every steam station includes a box; dedicated boxes extend the network. Assignment follows connected railway territory automatically.</w:t>
      </w:r>
    </w:p>
    <w:p>
      <w:r>
        <w:t>Core starts with conventional block signalling. Complex junctions should be less efficient than electronic rail, preserving later electric advantages. Existing 400–500 m block and approximately 60 km/h examples are Playtest Targets; improved semaphore/interlocking examples remain Proposed. Invalid/uncontrolled behaviour and enforcement are open.</w:t>
      </w:r>
    </w:p>
    <w:p>
      <w:pPr>
        <w:pStyle w:val="Heading2"/>
      </w:pPr>
      <w:r>
        <w:t>Generated rods and wires</w:t>
      </w:r>
    </w:p>
    <w:p>
      <w:r>
        <w:t>Agreed: assignment of a semaphore to a signal box automatically creates a mechanical-looking visual relationship. Where technically practical, linkage begins at the controlling box area, follows the railway formation and heads toward controlled equipment; reassignment updates it. Players do not manually place wiring, route cables or play a wiring minigame.</w:t>
      </w:r>
    </w:p>
    <w:p>
      <w:r>
        <w:t>Agreed: perceptual plausibility replaces full mechanical transmission simulation over hundreds of metres. A small twitch/jolt/vibration and click/clack/tension sound may accompany state changes. Arms, levers and relevant machines remain the primary readable motion; line-side movement is secondary ambience.</w:t>
      </w:r>
    </w:p>
    <w:p>
      <w:pPr>
        <w:pStyle w:val="Heading2"/>
      </w:pPr>
      <w:r>
        <w:t>What still needs evidence</w:t>
      </w:r>
    </w:p>
    <w:p>
      <w:pPr>
        <w:pStyle w:val="ListBullet"/>
      </w:pPr>
      <w:r>
        <w:t>OQ03: block length, speed limits, interlocking progression and invalid/uncontrolled behaviour.</w:t>
      </w:r>
    </w:p>
    <w:p>
      <w:pPr>
        <w:pStyle w:val="ListBullet"/>
      </w:pPr>
      <w:r>
        <w:t>OQ04: capacities, territory/overlap/reassignment, rod versus wire appearance, routing, branching, continuity and points/switch coverage.</w:t>
      </w:r>
    </w:p>
    <w:p>
      <w:pPr>
        <w:pStyle w:val="ListBullet"/>
      </w:pPr>
      <w:r>
        <w:t>OQ04 also covers regeneration after edits, clutter, LOD/culling, performance and multiplayer presentation.</w:t>
      </w:r>
    </w:p>
    <w:p>
      <w:r>
        <w:t>TECHNICAL VERIFICATION NEEDED. Generated paths, linkage animation and assignment presentation have no selected API or architecture. Later expansion infrastructure must not give steam electronic capability disguised as semaphores.</w:t>
      </w:r>
    </w:p>
    <w:p>
      <w:r>
        <w:br w:type="page"/>
      </w:r>
    </w:p>
    <w:p>
      <w:pPr>
        <w:pStyle w:val="Heading1"/>
      </w:pPr>
      <w:r>
        <w:t>Regional style and mechanical character</w:t>
      </w:r>
    </w:p>
    <w:p>
      <w:pPr>
        <w:pStyle w:val="Heading2"/>
      </w:pPr>
      <w:r>
        <w:t>One world style</w:t>
      </w:r>
    </w:p>
    <w:p>
      <w:r>
        <w:t>Agreed: region is a world/save setting. Core presentation is intended to update existing/future basic infrastructure and eligible locomotives. Connected wagons follow the controlling locomotive’s region; disconnected wagons follow the global world style. Controlling-locomotive determination and live cargo/mass/save/replication migration remain unverified. Duplicate regional wagon buildables are not required.</w:t>
      </w:r>
    </w:p>
    <w:p>
      <w:r>
        <w:t>British, North American and Continental European traditions have been discussed, but the final supported launch list is unresolved. One Small, Medium and Large is the ultimate Core rule for each supported region, not a promise that every discussed region ships at launch.</w:t>
      </w:r>
    </w:p>
    <w:p>
      <w:pPr>
        <w:pStyle w:val="Heading2"/>
      </w:pPr>
      <w:r>
        <w:t>Regional balance</w:t>
      </w:r>
    </w:p>
    <w:p>
      <w:r>
        <w:t>Superseded: identical class statistics between regional locomotive variants. Agreed: absolute power, mass and operating characteristics may differ. Corresponding wagon tare/mass can support broadly comparable useful performance for representative regional trains while preserving regional mechanical character. No numeric values or final curves are approved.</w:t>
      </w:r>
    </w:p>
    <w:p>
      <w:r>
        <w:t>The common foundation standardises software/data contracts rather than chassis. Regional models can have different wheel arrangements, wheelbases, proportions, tenders and rigs. Each locomotive has its own definition; the shared simulation must be expressive enough for Core and expansions.</w:t>
      </w:r>
    </w:p>
    <w:p>
      <w:pPr>
        <w:pStyle w:val="Heading2"/>
      </w:pPr>
      <w:r>
        <w:t>Switching is not solved</w:t>
      </w:r>
    </w:p>
    <w:p>
      <w:r>
        <w:t>OQ06 retains visual fallback, save/load migration, dynamic versus construction-fixed performance/mass, already-running trains, total mass display and transient/exploit states. No coherent migration implementation has been chosen.</w:t>
      </w:r>
    </w:p>
    <w:p>
      <w:r>
        <w:t>Proposed: matching owned packs supply advanced infrastructure presentation; missing advanced-asset fallback remains open. Agreed expansion locomotive fallback: without a valid corresponding owned destination locomotive, retain current region, presentation and running number. Valid correspondence and technical migration remain OQ23. Regional rosters need not be symmetrical.</w:t>
      </w:r>
    </w:p>
    <w:p>
      <w:r>
        <w:t>TECHNICAL VERIFICATION NEEDED for runtime style changes, data migration, asset availability and multiplayer consistency. Regional variety is design intent, not established implementation feasibility.</w:t>
      </w:r>
    </w:p>
    <w:p>
      <w:r>
        <w:br w:type="page"/>
      </w:r>
    </w:p>
    <w:p>
      <w:pPr>
        <w:pStyle w:val="Heading1"/>
      </w:pPr>
      <w:r>
        <w:t>Railway assistant and learning</w:t>
      </w:r>
    </w:p>
    <w:p>
      <w:pPr>
        <w:pStyle w:val="Heading2"/>
      </w:pPr>
      <w:r>
        <w:t>A welcoming railway voice</w:t>
      </w:r>
    </w:p>
    <w:p>
      <w:r>
        <w:t>Agreed: a scripted assistant distinct from ADA, voiced by the creator, warm, bubbly, enthusiastic, expressive and interested in railway engineering and teaching. Her support-oriented personality contrasts with FICSIT’s colder corporate tone. She presents Early Locomotion narrative/voice content and railway education.</w:t>
      </w:r>
    </w:p>
    <w:p>
      <w:r>
        <w:t>She does not inspect, diagnose or operate the player’s live network, calculate routes, automatically place signals or fix railways. She is not generative AI. The player remains responsible for railway construction and problem-solving.</w:t>
      </w:r>
    </w:p>
    <w:p>
      <w:pPr>
        <w:pStyle w:val="Heading2"/>
      </w:pPr>
      <w:r>
        <w:t>The animated library</w:t>
      </w:r>
    </w:p>
    <w:p>
      <w:r>
        <w:t>Agreed: an always-accessible optional/replayable teaching library, with individual lessons available progressively beside their technology. A clean white miniature railway table stages trains, track, stations, semaphores, boxes and service structures. Animation, pauses, highlighting and short captions teach one concept at a time.</w:t>
      </w:r>
    </w:p>
    <w:p>
      <w:r>
        <w:t>Agreed UI direction: older/prototype FICSIT, cleaner, instructional and less corporate. Create’s Ponder system inspires interaction only; no literal asset/presentation copying. Desired controls where practical are pause, replay, previous step and next step. Exact layout, controls and lesson roster remain open.</w:t>
      </w:r>
    </w:p>
    <w:p>
      <w:pPr>
        <w:pStyle w:val="Heading2"/>
      </w:pPr>
      <w:r>
        <w:t>Proposed introduction and flavour</w:t>
      </w:r>
    </w:p>
    <w:p>
      <w:r>
        <w:t>Proposed: the first applicable technology unlock begins like an ADA announcement, then glitches into an apparent assistant takeover, original retro startup jingle and introduction. Exact animation, sequence, dialogue and timing remain Proposed/Open. Windows XP audio is not intended release content.</w:t>
      </w:r>
    </w:p>
    <w:p>
      <w:r>
        <w:t>Proposed: obsolete UI language and warmer support may imply an older FICSIT era. This does not establish that FICSIT was formerly good or later corrupted. Exact origin/lore remains open. Additional lessons, flavour and occasional livery commentary are future Proposed content.</w:t>
      </w:r>
    </w:p>
    <w:p>
      <w:pPr>
        <w:pStyle w:val="Heading2"/>
      </w:pPr>
      <w:r>
        <w:t>Open choices</w:t>
      </w:r>
    </w:p>
    <w:p>
      <w:r>
        <w:t>OQ15–OQ18 retain name/dialogue/avatar/palette/UI, deeper lore, tutorial subjects/unlocks/narration and technical implementation. TECHNICAL VERIFICATION NEEDED for announcements, scenes, playback, unlock tracking and audio. No ADA interception versus independent recreation choice is made.</w:t>
      </w:r>
    </w:p>
    <w:p>
      <w:r>
        <w:br w:type="page"/>
      </w:r>
    </w:p>
    <w:p>
      <w:pPr>
        <w:pStyle w:val="Heading1"/>
      </w:pPr>
      <w:r>
        <w:t>Core development phases</w:t>
      </w:r>
    </w:p>
    <w:p>
      <w:r>
        <w:t>This is a high-level planning sequence maintained from the current checkpoint. It assigns no dates and makes no completion claim beyond recorded evidence. Technical results may require revisiting later phases.</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3096"/>
            <w:vAlign w:val="center"/>
            <w:tcMar>
              <w:top w:w="100" w:type="dxa"/>
              <w:bottom w:w="100" w:type="dxa"/>
              <w:left w:w="110" w:type="dxa"/>
              <w:right w:w="110" w:type="dxa"/>
            </w:tcMar>
            <w:shd w:fill="E8EDF0"/>
          </w:tcPr>
          <w:p>
            <w:pPr>
              <w:spacing w:after="40" w:line="240" w:lineRule="auto"/>
            </w:pPr>
            <w:r>
              <w:rPr>
                <w:b/>
                <w:sz w:val="21"/>
              </w:rPr>
              <w:t>Phase</w:t>
            </w:r>
          </w:p>
        </w:tc>
        <w:tc>
          <w:tcPr>
            <w:tcW w:type="dxa" w:w="6984"/>
            <w:vAlign w:val="center"/>
            <w:tcMar>
              <w:top w:w="100" w:type="dxa"/>
              <w:bottom w:w="100" w:type="dxa"/>
              <w:left w:w="110" w:type="dxa"/>
              <w:right w:w="110" w:type="dxa"/>
            </w:tcMar>
            <w:shd w:fill="E8EDF0"/>
          </w:tcPr>
          <w:p>
            <w:pPr>
              <w:spacing w:after="40" w:line="240" w:lineRule="auto"/>
            </w:pPr>
            <w:r>
              <w:rPr>
                <w:b/>
                <w:sz w:val="21"/>
              </w:rPr>
              <w:t>Position or intended outcome</w:t>
            </w:r>
          </w:p>
        </w:tc>
      </w:tr>
      <w:tr>
        <w:trPr>
          <w:cantSplit/>
        </w:trPr>
        <w:tc>
          <w:tcPr>
            <w:tcW w:type="dxa" w:w="3096"/>
            <w:vAlign w:val="center"/>
            <w:tcMar>
              <w:top w:w="100" w:type="dxa"/>
              <w:bottom w:w="100" w:type="dxa"/>
              <w:left w:w="110" w:type="dxa"/>
              <w:right w:w="110" w:type="dxa"/>
            </w:tcMar>
          </w:tcPr>
          <w:p>
            <w:pPr>
              <w:spacing w:after="40" w:line="240" w:lineRule="auto"/>
            </w:pPr>
            <w:r>
              <w:rPr>
                <w:b w:val="0"/>
                <w:sz w:val="21"/>
              </w:rPr>
              <w:t>Environment and toolchain</w:t>
            </w:r>
          </w:p>
        </w:tc>
        <w:tc>
          <w:tcPr>
            <w:tcW w:type="dxa" w:w="6984"/>
            <w:vAlign w:val="center"/>
            <w:tcMar>
              <w:top w:w="100" w:type="dxa"/>
              <w:bottom w:w="100" w:type="dxa"/>
              <w:left w:w="110" w:type="dxa"/>
              <w:right w:w="110" w:type="dxa"/>
            </w:tcMar>
          </w:tcPr>
          <w:p>
            <w:pPr>
              <w:spacing w:after="40" w:line="240" w:lineRule="auto"/>
            </w:pPr>
            <w:r>
              <w:rPr>
                <w:b w:val="0"/>
                <w:sz w:val="21"/>
              </w:rPr>
              <w:t>Generation, first build and usable editor launch verified; Turnkey deferred</w:t>
            </w:r>
          </w:p>
        </w:tc>
      </w:tr>
      <w:tr>
        <w:trPr>
          <w:cantSplit/>
        </w:trPr>
        <w:tc>
          <w:tcPr>
            <w:tcW w:type="dxa" w:w="3096"/>
            <w:vAlign w:val="center"/>
            <w:tcMar>
              <w:top w:w="100" w:type="dxa"/>
              <w:bottom w:w="100" w:type="dxa"/>
              <w:left w:w="110" w:type="dxa"/>
              <w:right w:w="110" w:type="dxa"/>
            </w:tcMar>
          </w:tcPr>
          <w:p>
            <w:pPr>
              <w:spacing w:after="40" w:line="240" w:lineRule="auto"/>
            </w:pPr>
            <w:r>
              <w:rPr>
                <w:b w:val="0"/>
                <w:sz w:val="21"/>
              </w:rPr>
              <w:t>Runtime baseline and architecture</w:t>
            </w:r>
          </w:p>
        </w:tc>
        <w:tc>
          <w:tcPr>
            <w:tcW w:type="dxa" w:w="6984"/>
            <w:vAlign w:val="center"/>
            <w:tcMar>
              <w:top w:w="100" w:type="dxa"/>
              <w:bottom w:w="100" w:type="dxa"/>
              <w:left w:w="110" w:type="dxa"/>
              <w:right w:w="110" w:type="dxa"/>
            </w:tcMar>
          </w:tcPr>
          <w:p>
            <w:pPr>
              <w:spacing w:after="40" w:line="240" w:lineRule="auto"/>
            </w:pPr>
            <w:r>
              <w:rPr>
                <w:b w:val="0"/>
                <w:sz w:val="21"/>
              </w:rPr>
              <w:t>Probe 1 and traction-causality control completed; restore working probe, then test vanilla wagon coupling; final production architecture unresolved</w:t>
            </w:r>
          </w:p>
        </w:tc>
      </w:tr>
      <w:tr>
        <w:trPr>
          <w:cantSplit/>
        </w:trPr>
        <w:tc>
          <w:tcPr>
            <w:tcW w:type="dxa" w:w="3096"/>
            <w:vAlign w:val="center"/>
            <w:tcMar>
              <w:top w:w="100" w:type="dxa"/>
              <w:bottom w:w="100" w:type="dxa"/>
              <w:left w:w="110" w:type="dxa"/>
              <w:right w:w="110" w:type="dxa"/>
            </w:tcMar>
          </w:tcPr>
          <w:p>
            <w:pPr>
              <w:spacing w:after="40" w:line="240" w:lineRule="auto"/>
            </w:pPr>
            <w:r>
              <w:rPr>
                <w:b w:val="0"/>
                <w:sz w:val="21"/>
              </w:rPr>
              <w:t>Track and rolling stock prototype</w:t>
            </w:r>
          </w:p>
        </w:tc>
        <w:tc>
          <w:tcPr>
            <w:tcW w:type="dxa" w:w="6984"/>
            <w:vAlign w:val="center"/>
            <w:tcMar>
              <w:top w:w="100" w:type="dxa"/>
              <w:bottom w:w="100" w:type="dxa"/>
              <w:left w:w="110" w:type="dxa"/>
              <w:right w:w="110" w:type="dxa"/>
            </w:tcMar>
          </w:tcPr>
          <w:p>
            <w:pPr>
              <w:spacing w:after="40" w:line="240" w:lineRule="auto"/>
            </w:pPr>
            <w:r>
              <w:rPr>
                <w:b w:val="0"/>
                <w:sz w:val="21"/>
              </w:rPr>
              <w:t>A minimal line, locomotive and wagon proving graph/movement compatibility</w:t>
            </w:r>
          </w:p>
        </w:tc>
      </w:tr>
      <w:tr>
        <w:trPr>
          <w:cantSplit/>
        </w:trPr>
        <w:tc>
          <w:tcPr>
            <w:tcW w:type="dxa" w:w="3096"/>
            <w:vAlign w:val="center"/>
            <w:tcMar>
              <w:top w:w="100" w:type="dxa"/>
              <w:bottom w:w="100" w:type="dxa"/>
              <w:left w:w="110" w:type="dxa"/>
              <w:right w:w="110" w:type="dxa"/>
            </w:tcMar>
          </w:tcPr>
          <w:p>
            <w:pPr>
              <w:spacing w:after="40" w:line="240" w:lineRule="auto"/>
            </w:pPr>
            <w:r>
              <w:rPr>
                <w:b w:val="0"/>
                <w:sz w:val="21"/>
              </w:rPr>
              <w:t>Locomotive systems</w:t>
            </w:r>
          </w:p>
        </w:tc>
        <w:tc>
          <w:tcPr>
            <w:tcW w:type="dxa" w:w="6984"/>
            <w:vAlign w:val="center"/>
            <w:tcMar>
              <w:top w:w="100" w:type="dxa"/>
              <w:bottom w:w="100" w:type="dxa"/>
              <w:left w:w="110" w:type="dxa"/>
              <w:right w:w="110" w:type="dxa"/>
            </w:tcMar>
          </w:tcPr>
          <w:p>
            <w:pPr>
              <w:spacing w:after="40" w:line="240" w:lineRule="auto"/>
            </w:pPr>
            <w:r>
              <w:rPr>
                <w:b w:val="0"/>
                <w:sz w:val="21"/>
              </w:rPr>
              <w:t>Shared expressive definitions and steam operating behaviour</w:t>
            </w:r>
          </w:p>
        </w:tc>
      </w:tr>
      <w:tr>
        <w:trPr>
          <w:cantSplit/>
        </w:trPr>
        <w:tc>
          <w:tcPr>
            <w:tcW w:type="dxa" w:w="3096"/>
            <w:vAlign w:val="center"/>
            <w:tcMar>
              <w:top w:w="100" w:type="dxa"/>
              <w:bottom w:w="100" w:type="dxa"/>
              <w:left w:w="110" w:type="dxa"/>
              <w:right w:w="110" w:type="dxa"/>
            </w:tcMar>
          </w:tcPr>
          <w:p>
            <w:pPr>
              <w:spacing w:after="40" w:line="240" w:lineRule="auto"/>
            </w:pPr>
            <w:r>
              <w:rPr>
                <w:b w:val="0"/>
                <w:sz w:val="21"/>
              </w:rPr>
              <w:t>Fuel water and supply</w:t>
            </w:r>
          </w:p>
        </w:tc>
        <w:tc>
          <w:tcPr>
            <w:tcW w:type="dxa" w:w="6984"/>
            <w:vAlign w:val="center"/>
            <w:tcMar>
              <w:top w:w="100" w:type="dxa"/>
              <w:bottom w:w="100" w:type="dxa"/>
              <w:left w:w="110" w:type="dxa"/>
              <w:right w:w="110" w:type="dxa"/>
            </w:tcMar>
          </w:tcPr>
          <w:p>
            <w:pPr>
              <w:spacing w:after="40" w:line="240" w:lineRule="auto"/>
            </w:pPr>
            <w:r>
              <w:rPr>
                <w:b w:val="0"/>
                <w:sz w:val="21"/>
              </w:rPr>
              <w:t>Consumption, replenishment and depletion rules after decisions/tests</w:t>
            </w:r>
          </w:p>
        </w:tc>
      </w:tr>
      <w:tr>
        <w:trPr>
          <w:cantSplit/>
        </w:trPr>
        <w:tc>
          <w:tcPr>
            <w:tcW w:type="dxa" w:w="3096"/>
            <w:vAlign w:val="center"/>
            <w:tcMar>
              <w:top w:w="100" w:type="dxa"/>
              <w:bottom w:w="100" w:type="dxa"/>
              <w:left w:w="110" w:type="dxa"/>
              <w:right w:w="110" w:type="dxa"/>
            </w:tcMar>
          </w:tcPr>
          <w:p>
            <w:pPr>
              <w:spacing w:after="40" w:line="240" w:lineRule="auto"/>
            </w:pPr>
            <w:r>
              <w:rPr>
                <w:b w:val="0"/>
                <w:sz w:val="21"/>
              </w:rPr>
              <w:t>Stations and service points</w:t>
            </w:r>
          </w:p>
        </w:tc>
        <w:tc>
          <w:tcPr>
            <w:tcW w:type="dxa" w:w="6984"/>
            <w:vAlign w:val="center"/>
            <w:tcMar>
              <w:top w:w="100" w:type="dxa"/>
              <w:bottom w:w="100" w:type="dxa"/>
              <w:left w:w="110" w:type="dxa"/>
              <w:right w:w="110" w:type="dxa"/>
            </w:tcMar>
          </w:tcPr>
          <w:p>
            <w:pPr>
              <w:spacing w:after="40" w:line="240" w:lineRule="auto"/>
            </w:pPr>
            <w:r>
              <w:rPr>
                <w:b w:val="0"/>
                <w:sz w:val="21"/>
              </w:rPr>
              <w:t>Model-aware servicing, timings and timetable interactions</w:t>
            </w:r>
          </w:p>
        </w:tc>
      </w:tr>
      <w:tr>
        <w:trPr>
          <w:cantSplit/>
        </w:trPr>
        <w:tc>
          <w:tcPr>
            <w:tcW w:type="dxa" w:w="3096"/>
            <w:vAlign w:val="center"/>
            <w:tcMar>
              <w:top w:w="100" w:type="dxa"/>
              <w:bottom w:w="100" w:type="dxa"/>
              <w:left w:w="110" w:type="dxa"/>
              <w:right w:w="110" w:type="dxa"/>
            </w:tcMar>
          </w:tcPr>
          <w:p>
            <w:pPr>
              <w:spacing w:after="40" w:line="240" w:lineRule="auto"/>
            </w:pPr>
            <w:r>
              <w:rPr>
                <w:b w:val="0"/>
                <w:sz w:val="21"/>
              </w:rPr>
              <w:t>Signalling</w:t>
            </w:r>
          </w:p>
        </w:tc>
        <w:tc>
          <w:tcPr>
            <w:tcW w:type="dxa" w:w="6984"/>
            <w:vAlign w:val="center"/>
            <w:tcMar>
              <w:top w:w="100" w:type="dxa"/>
              <w:bottom w:w="100" w:type="dxa"/>
              <w:left w:w="110" w:type="dxa"/>
              <w:right w:w="110" w:type="dxa"/>
            </w:tcMar>
          </w:tcPr>
          <w:p>
            <w:pPr>
              <w:spacing w:after="40" w:line="240" w:lineRule="auto"/>
            </w:pPr>
            <w:r>
              <w:rPr>
                <w:b w:val="0"/>
                <w:sz w:val="21"/>
              </w:rPr>
              <w:t>Blocks, boxes, automatic assignment and presentation within agreed limits</w:t>
            </w:r>
          </w:p>
        </w:tc>
      </w:tr>
      <w:tr>
        <w:trPr>
          <w:cantSplit/>
        </w:trPr>
        <w:tc>
          <w:tcPr>
            <w:tcW w:type="dxa" w:w="3096"/>
            <w:vAlign w:val="center"/>
            <w:tcMar>
              <w:top w:w="100" w:type="dxa"/>
              <w:bottom w:w="100" w:type="dxa"/>
              <w:left w:w="110" w:type="dxa"/>
              <w:right w:w="110" w:type="dxa"/>
            </w:tcMar>
          </w:tcPr>
          <w:p>
            <w:pPr>
              <w:spacing w:after="40" w:line="240" w:lineRule="auto"/>
            </w:pPr>
            <w:r>
              <w:rPr>
                <w:b w:val="0"/>
                <w:sz w:val="21"/>
              </w:rPr>
              <w:t>Regional presentation</w:t>
            </w:r>
          </w:p>
        </w:tc>
        <w:tc>
          <w:tcPr>
            <w:tcW w:type="dxa" w:w="6984"/>
            <w:vAlign w:val="center"/>
            <w:tcMar>
              <w:top w:w="100" w:type="dxa"/>
              <w:bottom w:w="100" w:type="dxa"/>
              <w:left w:w="110" w:type="dxa"/>
              <w:right w:w="110" w:type="dxa"/>
            </w:tcMar>
          </w:tcPr>
          <w:p>
            <w:pPr>
              <w:spacing w:after="40" w:line="240" w:lineRule="auto"/>
            </w:pPr>
            <w:r>
              <w:rPr>
                <w:b w:val="0"/>
                <w:sz w:val="21"/>
              </w:rPr>
              <w:t>Supported Core roster/style and safe switching/migration</w:t>
            </w:r>
          </w:p>
        </w:tc>
      </w:tr>
      <w:tr>
        <w:trPr>
          <w:cantSplit/>
        </w:trPr>
        <w:tc>
          <w:tcPr>
            <w:tcW w:type="dxa" w:w="3096"/>
            <w:vAlign w:val="center"/>
            <w:tcMar>
              <w:top w:w="100" w:type="dxa"/>
              <w:bottom w:w="100" w:type="dxa"/>
              <w:left w:w="110" w:type="dxa"/>
              <w:right w:w="110" w:type="dxa"/>
            </w:tcMar>
          </w:tcPr>
          <w:p>
            <w:pPr>
              <w:spacing w:after="40" w:line="240" w:lineRule="auto"/>
            </w:pPr>
            <w:r>
              <w:rPr>
                <w:b w:val="0"/>
                <w:sz w:val="21"/>
              </w:rPr>
              <w:t>Assistant and tutorials</w:t>
            </w:r>
          </w:p>
        </w:tc>
        <w:tc>
          <w:tcPr>
            <w:tcW w:type="dxa" w:w="6984"/>
            <w:vAlign w:val="center"/>
            <w:tcMar>
              <w:top w:w="100" w:type="dxa"/>
              <w:bottom w:w="100" w:type="dxa"/>
              <w:left w:w="110" w:type="dxa"/>
              <w:right w:w="110" w:type="dxa"/>
            </w:tcMar>
          </w:tcPr>
          <w:p>
            <w:pPr>
              <w:spacing w:after="40" w:line="240" w:lineRule="auto"/>
            </w:pPr>
            <w:r>
              <w:rPr>
                <w:b w:val="0"/>
                <w:sz w:val="21"/>
              </w:rPr>
              <w:t>Progressive lessons, narration and technically verified UI</w:t>
            </w:r>
          </w:p>
        </w:tc>
      </w:tr>
      <w:tr>
        <w:trPr>
          <w:cantSplit/>
        </w:trPr>
        <w:tc>
          <w:tcPr>
            <w:tcW w:type="dxa" w:w="3096"/>
            <w:vAlign w:val="center"/>
            <w:tcMar>
              <w:top w:w="100" w:type="dxa"/>
              <w:bottom w:w="100" w:type="dxa"/>
              <w:left w:w="110" w:type="dxa"/>
              <w:right w:w="110" w:type="dxa"/>
            </w:tcMar>
          </w:tcPr>
          <w:p>
            <w:pPr>
              <w:spacing w:after="40" w:line="240" w:lineRule="auto"/>
            </w:pPr>
            <w:r>
              <w:rPr>
                <w:b w:val="0"/>
                <w:sz w:val="21"/>
              </w:rPr>
              <w:t>Polish testing and Core 1.0</w:t>
            </w:r>
          </w:p>
        </w:tc>
        <w:tc>
          <w:tcPr>
            <w:tcW w:type="dxa" w:w="6984"/>
            <w:vAlign w:val="center"/>
            <w:tcMar>
              <w:top w:w="100" w:type="dxa"/>
              <w:bottom w:w="100" w:type="dxa"/>
              <w:left w:w="110" w:type="dxa"/>
              <w:right w:w="110" w:type="dxa"/>
            </w:tcMar>
          </w:tcPr>
          <w:p>
            <w:pPr>
              <w:spacing w:after="40" w:line="240" w:lineRule="auto"/>
            </w:pPr>
            <w:r>
              <w:rPr>
                <w:b w:val="0"/>
                <w:sz w:val="21"/>
              </w:rPr>
              <w:t>Balance, save/load, multiplayer, packaging and complete Core quality</w:t>
            </w:r>
          </w:p>
        </w:tc>
      </w:tr>
    </w:tbl>
    <w:p/>
    <w:p>
      <w:pPr>
        <w:pStyle w:val="Heading2"/>
      </w:pPr>
      <w:r>
        <w:t>First playable scope</w:t>
      </w:r>
    </w:p>
    <w:p>
      <w:r>
        <w:t>Prove integration with the railroad graph and basic movement before committing to production rolling stock, a complete animated station, full supplies, semaphore networks, complex tenders or final regional content. This prototype order does not select inheritance or settle Open Questions.</w:t>
      </w:r>
    </w:p>
    <w:p>
      <w:pPr>
        <w:pStyle w:val="Heading2"/>
      </w:pPr>
      <w:r>
        <w:t>Later non-expansion possibilities</w:t>
      </w:r>
    </w:p>
    <w:p>
      <w:r>
        <w:t>Known Proposed later work includes an interchange/Transfer Station possibility and additional tutorial/character content. Their exact placement is unresolved. This roadmap does not invent a post-launch backlog; advanced late-game steam infrastructure belongs to the enthusiast expansion direction.</w:t>
      </w:r>
    </w:p>
    <w:p>
      <w:r>
        <w:br w:type="page"/>
      </w:r>
    </w:p>
    <w:p>
      <w:pPr>
        <w:pStyle w:val="Heading1"/>
      </w:pPr>
      <w:r>
        <w:t>Enthusiast packs and historical content</w:t>
      </w:r>
    </w:p>
    <w:p>
      <w:r>
        <w:t>PROPOSED POST-CORE DIRECTION. Optional regional packs would extend breadth and enthusiast depth after a complete Core. They are not first-playable or Core 1.0 requirements.</w:t>
      </w:r>
    </w:p>
    <w:p>
      <w:pPr>
        <w:pStyle w:val="Heading2"/>
      </w:pPr>
      <w:r>
        <w:t>A richer catalogue</w:t>
      </w:r>
    </w:p>
    <w:p>
      <w:r>
        <w:t>Agreed direction: substantially expanded rosters use historical/operational roles, retaining and reclassifying Core engines. Shunters, Mixed Traffic, Express/Fast Freight and Heavy Freight are candidate names only. A deliberate roster cap avoids overwhelming players; suggested large counts are aspirations, not commitments.</w:t>
      </w:r>
    </w:p>
    <w:p>
      <w:r>
        <w:t>Express primarily means fast freight/high-speed logistics in gameplay; no passenger economy is required. Historically passenger-oriented machines may appear for broad use, significance or prestige, with honest history. Locomotives differ meaningfully in traction, speed, mass, braking, capacities, consumption and gradients; they are not cosmetic Core skins.</w:t>
      </w:r>
    </w:p>
    <w:p>
      <w:pPr>
        <w:pStyle w:val="Heading2"/>
      </w:pPr>
      <w:r>
        <w:t>History and gameplay on separate cards</w:t>
      </w:r>
    </w:p>
    <w:p>
      <w:r>
        <w:t>Agreed: cards separate HISTORY / CHARACTER from EARLY LOCOMOTION GAMEPLAY. Research builder/designer/operator, introduction era, real duties and useful stories; explain gameplay duties, strengths and weaknesses separately. Real engineering informs character, not literal copying of every value.</w:t>
      </w:r>
    </w:p>
    <w:p>
      <w:r>
        <w:t>Proposed Golden Era coverage may include appropriate British GWR, LNER, LMS, SR, BR and other operators. Operators inform history/livery/identity, not build-menu categories. Exact chronology and regional coverage remain open.</w:t>
      </w:r>
    </w:p>
    <w:p>
      <w:pPr>
        <w:pStyle w:val="Heading2"/>
      </w:pPr>
      <w:r>
        <w:t>Liveries and special machines</w:t>
      </w:r>
    </w:p>
    <w:p>
      <w:r>
        <w:t>Agreed: historical presentation is prominent, with suitable defaults where feasible, possible additional historic liveries and corporate/FICSIT options. Historical liveries are not separate real-money microtransactions inside an owned-pack proposal. Customizer/AWESOME integration and occasional assistant comments remain Proposed and technically unverified.</w:t>
      </w:r>
    </w:p>
    <w:p>
      <w:r>
        <w:t>Agreed VIP/prestige framework: extremely expensive display/collection rewards, fixed historical names/numbers, one-per-world where appropriate and no superior logistics utility. Expansion VIPs are famous specific machines; Core VIPs normally come from an existing Core class. Mallard, Flying Scotsman and Evening Star are examples only. Roster, prices and licensing remain OQ25; prestige passenger stock and assistant VIP reactions are Proposed.</w:t>
      </w:r>
    </w:p>
    <w:p>
      <w:pPr>
        <w:pStyle w:val="Heading2"/>
        <w:keepNext/>
      </w:pPr>
      <w:r>
        <w:t>Progression alongside Core</w:t>
      </w:r>
    </w:p>
    <w:p>
      <w:pPr/>
      <w:r>
        <w:t>Agreed expansion ownership does not immediately unlock endgame steam. Early/small engines align with comparable Core stages; stronger machines/infrastructure follow Heavy Steam or later. Integration into existing milestones is Proposed, with additional labelled milestones as fallback. Exact unlocks/API remain OQ20.</w:t>
      </w:r>
    </w:p>
    <w:p>
      <w:pPr>
        <w:pStyle w:val="Heading2"/>
      </w:pPr>
      <w:r>
        <w:t>Value over time</w:t>
      </w:r>
    </w:p>
    <w:p>
      <w:r>
        <w:t>Proposed: a meaningful initial roster grows through later updates for existing owners without a per-locomotive charge. Approximately £10 GBP is a planning target only. Exact price and early-access policy remain open; no higher-price-for-incomplete-content rule is approved.</w:t>
      </w:r>
    </w:p>
    <w:p>
      <w:r>
        <w:br w:type="page"/>
      </w:r>
    </w:p>
    <w:p>
      <w:pPr>
        <w:pStyle w:val="Heading1"/>
      </w:pPr>
      <w:r>
        <w:t>Advanced steam after Core</w:t>
      </w:r>
    </w:p>
    <w:p>
      <w:pPr>
        <w:pStyle w:val="Heading2"/>
      </w:pPr>
      <w:r>
        <w:t>Infrastructure for committed steam users</w:t>
      </w:r>
    </w:p>
    <w:p>
      <w:r>
        <w:t>Agreed: advanced late-game steam infrastructure is expansion-only. Proposed possibilities include larger terminals, higher-capacity servicing, larger boxes/territories, more semaphores, improved interlocking, practical signal spacing and large-network systems. The exact catalogue and capabilities remain OQ22.</w:t>
      </w:r>
    </w:p>
    <w:p>
      <w:r>
        <w:t>Electric remains superior overall. Specialist late-game steam might stay viable through many tracks, trains and substantial servicing/signalling complexes. Steam’s physical scale is not permission to match vanilla electronic capability beneath mechanical visuals.</w:t>
      </w:r>
    </w:p>
    <w:p>
      <w:pPr>
        <w:pStyle w:val="Heading2"/>
      </w:pPr>
      <w:r>
        <w:t>Optional manual operation</w:t>
      </w:r>
    </w:p>
    <w:p>
      <w:r>
        <w:t>Agreed direction: optional/toggleable Advanced steam controls, with normal Simple controls available and default. First relevant expansion use presents a clear Simple versus Advanced choice, Simple preselected, and notice that it can change later. The assistant may introduce it. Configuration implementation is unverified.</w:t>
      </w:r>
    </w:p>
    <w:p>
      <w:r>
        <w:t>Agreed refined scope: coal/firebox management, regulator/throttle and reverser/cutoff, with braking as needed. Meaningful operation without professional simulation. Detailed injectors, boiler-water/blower/damper/valve simulation and catastrophic damage are not required. Natural poor-operation consequences include weaker hauling/steam power and possible wheel slip; formulas remain OQ24.</w:t>
      </w:r>
    </w:p>
    <w:p>
      <w:pPr>
        <w:pStyle w:val="Heading2"/>
      </w:pPr>
      <w:r>
        <w:t>Simple must stay worthwhile</w:t>
      </w:r>
    </w:p>
    <w:p>
      <w:r>
        <w:t>Agreed: Simple is competent automatic crew/transmission operation; Advanced is manual operation for anticipating gradients, holding power and trading efficiency for immediate output. Simple stays useful. Advanced may offer a modest skill ceiling and somewhat better useful performance; exact advantage and formulas remain OQ24. Configuration/input need verification.</w:t>
      </w:r>
    </w:p>
    <w:p>
      <w:pPr>
        <w:pStyle w:val="Heading2"/>
      </w:pPr>
      <w:r>
        <w:t>One underlying foundation</w:t>
      </w:r>
    </w:p>
    <w:p>
      <w:r>
        <w:t>Agreed: Core and expansions share an expressive data-driven locomotive foundation, with separate definitions and configurable model presentation. Advanced interactions should extend that foundation where practical, not require an unnecessary expansion-only physics engine. This constraint does not choose Unreal classes or resolve railway architecture.</w:t>
      </w:r>
    </w:p>
    <w:p>
      <w:r>
        <w:t>Future ambition does not change today’s priority: baseline evidence, architecture assessment and a minimal Core prototype come first.</w:t>
      </w:r>
    </w:p>
    <w:p>
      <w:r>
        <w:br w:type="page"/>
      </w:r>
    </w:p>
    <w:p>
      <w:pPr>
        <w:pStyle w:val="Heading1"/>
      </w:pPr>
      <w:r>
        <w:t>Open decisions and future boundaries</w:t>
      </w:r>
    </w:p>
    <w:p>
      <w:pPr>
        <w:pStyle w:val="Heading2"/>
      </w:pPr>
      <w:r>
        <w:t>Questions retained for the Manager</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160"/>
            <w:vAlign w:val="center"/>
            <w:tcMar>
              <w:top w:w="100" w:type="dxa"/>
              <w:bottom w:w="100" w:type="dxa"/>
              <w:left w:w="110" w:type="dxa"/>
              <w:right w:w="110" w:type="dxa"/>
            </w:tcMar>
            <w:shd w:fill="E8EDF0"/>
          </w:tcPr>
          <w:p>
            <w:pPr>
              <w:spacing w:after="40" w:line="240" w:lineRule="auto"/>
            </w:pPr>
            <w:r>
              <w:rPr>
                <w:b/>
                <w:sz w:val="21"/>
              </w:rPr>
              <w:t>Question group</w:t>
            </w:r>
          </w:p>
        </w:tc>
        <w:tc>
          <w:tcPr>
            <w:tcW w:type="dxa" w:w="7920"/>
            <w:vAlign w:val="center"/>
            <w:tcMar>
              <w:top w:w="100" w:type="dxa"/>
              <w:bottom w:w="100" w:type="dxa"/>
              <w:left w:w="110" w:type="dxa"/>
              <w:right w:w="110" w:type="dxa"/>
            </w:tcMar>
            <w:shd w:fill="E8EDF0"/>
          </w:tcPr>
          <w:p>
            <w:pPr>
              <w:spacing w:after="40" w:line="240" w:lineRule="auto"/>
            </w:pPr>
            <w:r>
              <w:rPr>
                <w:b/>
                <w:sz w:val="21"/>
              </w:rPr>
              <w:t>Unresolved scope</w:t>
            </w:r>
          </w:p>
        </w:tc>
      </w:tr>
      <w:tr>
        <w:trPr>
          <w:cantSplit/>
        </w:trPr>
        <w:tc>
          <w:tcPr>
            <w:tcW w:type="dxa" w:w="2160"/>
            <w:vAlign w:val="center"/>
            <w:tcMar>
              <w:top w:w="100" w:type="dxa"/>
              <w:bottom w:w="100" w:type="dxa"/>
              <w:left w:w="110" w:type="dxa"/>
              <w:right w:w="110" w:type="dxa"/>
            </w:tcMar>
          </w:tcPr>
          <w:p>
            <w:pPr>
              <w:spacing w:after="40" w:line="240" w:lineRule="auto"/>
            </w:pPr>
            <w:r>
              <w:rPr>
                <w:b w:val="0"/>
                <w:sz w:val="21"/>
              </w:rPr>
              <w:t>OQ01–OQ14</w:t>
            </w:r>
          </w:p>
        </w:tc>
        <w:tc>
          <w:tcPr>
            <w:tcW w:type="dxa" w:w="7920"/>
            <w:vAlign w:val="center"/>
            <w:tcMar>
              <w:top w:w="100" w:type="dxa"/>
              <w:bottom w:w="100" w:type="dxa"/>
              <w:left w:w="110" w:type="dxa"/>
              <w:right w:w="110" w:type="dxa"/>
            </w:tcMar>
          </w:tcPr>
          <w:p>
            <w:pPr>
              <w:spacing w:after="40" w:line="240" w:lineRule="auto"/>
            </w:pPr>
            <w:r>
              <w:rPr>
                <w:b w:val="0"/>
                <w:sz w:val="21"/>
              </w:rPr>
              <w:t>Core progression/geometry/signalling/supplies/vehicles/stations/conversion/scope and verified implementation choices</w:t>
            </w:r>
          </w:p>
        </w:tc>
      </w:tr>
      <w:tr>
        <w:trPr>
          <w:cantSplit/>
        </w:trPr>
        <w:tc>
          <w:tcPr>
            <w:tcW w:type="dxa" w:w="2160"/>
            <w:vAlign w:val="center"/>
            <w:tcMar>
              <w:top w:w="100" w:type="dxa"/>
              <w:bottom w:w="100" w:type="dxa"/>
              <w:left w:w="110" w:type="dxa"/>
              <w:right w:w="110" w:type="dxa"/>
            </w:tcMar>
          </w:tcPr>
          <w:p>
            <w:pPr>
              <w:spacing w:after="40" w:line="240" w:lineRule="auto"/>
            </w:pPr>
            <w:r>
              <w:rPr>
                <w:b w:val="0"/>
                <w:sz w:val="21"/>
              </w:rPr>
              <w:t>OQ15–OQ18</w:t>
            </w:r>
          </w:p>
        </w:tc>
        <w:tc>
          <w:tcPr>
            <w:tcW w:type="dxa" w:w="7920"/>
            <w:vAlign w:val="center"/>
            <w:tcMar>
              <w:top w:w="100" w:type="dxa"/>
              <w:bottom w:w="100" w:type="dxa"/>
              <w:left w:w="110" w:type="dxa"/>
              <w:right w:w="110" w:type="dxa"/>
            </w:tcMar>
          </w:tcPr>
          <w:p>
            <w:pPr>
              <w:spacing w:after="40" w:line="240" w:lineRule="auto"/>
            </w:pPr>
            <w:r>
              <w:rPr>
                <w:b w:val="0"/>
                <w:sz w:val="21"/>
              </w:rPr>
              <w:t>Assistant identity/lore, tutorial roster/narration/UI and technical playback/announcement/audio implementation</w:t>
            </w:r>
          </w:p>
        </w:tc>
      </w:tr>
      <w:tr>
        <w:trPr>
          <w:cantSplit/>
        </w:trPr>
        <w:tc>
          <w:tcPr>
            <w:tcW w:type="dxa" w:w="2160"/>
            <w:vAlign w:val="center"/>
            <w:tcMar>
              <w:top w:w="100" w:type="dxa"/>
              <w:bottom w:w="100" w:type="dxa"/>
              <w:left w:w="110" w:type="dxa"/>
              <w:right w:w="110" w:type="dxa"/>
            </w:tcMar>
          </w:tcPr>
          <w:p>
            <w:pPr>
              <w:spacing w:after="40" w:line="240" w:lineRule="auto"/>
            </w:pPr>
            <w:r>
              <w:rPr>
                <w:b w:val="0"/>
                <w:sz w:val="21"/>
              </w:rPr>
              <w:t>OQ19–OQ21</w:t>
            </w:r>
          </w:p>
        </w:tc>
        <w:tc>
          <w:tcPr>
            <w:tcW w:type="dxa" w:w="7920"/>
            <w:vAlign w:val="center"/>
            <w:tcMar>
              <w:top w:w="100" w:type="dxa"/>
              <w:bottom w:w="100" w:type="dxa"/>
              <w:left w:w="110" w:type="dxa"/>
              <w:right w:w="110" w:type="dxa"/>
            </w:tcMar>
          </w:tcPr>
          <w:p>
            <w:pPr>
              <w:spacing w:after="40" w:line="240" w:lineRule="auto"/>
            </w:pPr>
            <w:r>
              <w:rPr>
                <w:b w:val="0"/>
                <w:sz w:val="21"/>
              </w:rPr>
              <w:t>Build-menu support/nesting, expansion names/roster/cap/roles and Golden Era chronology</w:t>
            </w:r>
          </w:p>
        </w:tc>
      </w:tr>
      <w:tr>
        <w:trPr>
          <w:cantSplit/>
        </w:trPr>
        <w:tc>
          <w:tcPr>
            <w:tcW w:type="dxa" w:w="2160"/>
            <w:vAlign w:val="center"/>
            <w:tcMar>
              <w:top w:w="100" w:type="dxa"/>
              <w:bottom w:w="100" w:type="dxa"/>
              <w:left w:w="110" w:type="dxa"/>
              <w:right w:w="110" w:type="dxa"/>
            </w:tcMar>
          </w:tcPr>
          <w:p>
            <w:r>
              <w:t>OQ22–OQ25</w:t>
            </w:r>
          </w:p>
        </w:tc>
        <w:tc>
          <w:tcPr>
            <w:tcW w:type="dxa" w:w="7920"/>
            <w:vAlign w:val="center"/>
            <w:tcMar>
              <w:top w:w="100" w:type="dxa"/>
              <w:bottom w:w="100" w:type="dxa"/>
              <w:left w:w="110" w:type="dxa"/>
              <w:right w:w="110" w:type="dxa"/>
            </w:tcMar>
          </w:tcPr>
          <w:p>
            <w:r>
              <w:t>Advanced catalogue; technical regional migration; refined driving formulas/advantage; liveries and VIP roster/pricing/licensing</w:t>
            </w:r>
          </w:p>
        </w:tc>
      </w:tr>
      <w:tr>
        <w:trPr>
          <w:cantSplit/>
        </w:trPr>
        <w:tc>
          <w:tcPr>
            <w:tcW w:type="dxa" w:w="2160"/>
            <w:vAlign w:val="center"/>
            <w:tcMar>
              <w:top w:w="100" w:type="dxa"/>
              <w:bottom w:w="100" w:type="dxa"/>
              <w:left w:w="110" w:type="dxa"/>
              <w:right w:w="110" w:type="dxa"/>
            </w:tcMar>
          </w:tcPr>
          <w:p>
            <w:r>
              <w:t>OQ26–OQ30</w:t>
            </w:r>
          </w:p>
        </w:tc>
        <w:tc>
          <w:tcPr>
            <w:tcW w:type="dxa" w:w="7920"/>
            <w:vAlign w:val="center"/>
            <w:tcMar>
              <w:top w:w="100" w:type="dxa"/>
              <w:bottom w:w="100" w:type="dxa"/>
              <w:left w:w="110" w:type="dxa"/>
              <w:right w:w="110" w:type="dxa"/>
            </w:tcMar>
          </w:tcPr>
          <w:p>
            <w:r>
              <w:t>Commercial/multiplayer delivery; Fleet Identity storage; numbering data/rules; renumber and fleet-search UI</w:t>
            </w:r>
          </w:p>
        </w:tc>
      </w:tr>
    </w:tbl>
    <w:p/>
    <w:p>
      <w:pPr>
        <w:pStyle w:val="Heading2"/>
      </w:pPr>
      <w:r>
        <w:t>Commercial and multiplayer investigation</w:t>
      </w:r>
    </w:p>
    <w:p>
      <w:r>
        <w:t>Agreed desired outcome: friends ideally need no separate enthusiast purchase simply to join/play with an owner, if technically, legally and commercially viable. This is not verified server-side DLC. Client asset installation and entitlement are different problems; mod loading, server dependencies, saves and differing pack availability remain unresolved.</w:t>
      </w:r>
    </w:p>
    <w:p>
      <w:r>
        <w:t>Agreed: regional packs depend on Core, coexist and remain mutually compatible without duplicating systems. Shared contracts/gameplay and varied presentation are preferred where practical. No implementation or entitlement mechanism is established.</w:t>
      </w:r>
    </w:p>
    <w:p>
      <w:r>
        <w:t>Paid distribution, storefronts, exact price, early-access policy and commercial/platform permission are Open Questions. Patreon, external purchase and manual packages are unapproved ideas. Investigate Coffee Stain/Satisfactory Modding policy, SML/SMR rules, redistribution, storefront terms, rights, updates and dependencies before promises. TECHNICAL VERIFICATION NEEDED plus legal/commercial review.</w:t>
      </w:r>
    </w:p>
    <w:p>
      <w:pPr>
        <w:pStyle w:val="Heading2"/>
      </w:pPr>
      <w:r>
        <w:t>Not now</w:t>
      </w:r>
    </w:p>
    <w:p>
      <w:r>
        <w:t>Paid packs, huge regional fleets, advanced driving, cameo engines and late-game mega terminals are future ambitions. They must not distract from runtime baseline experiments, unresolved architecture, first playable implementation or complete Core 1.0.</w:t>
      </w:r>
    </w:p>
    <w:p>
      <w:pPr>
        <w:pStyle w:val="Heading2"/>
      </w:pPr>
      <w:r>
        <w:t>Keeping this roadmap useful</w:t>
      </w:r>
    </w:p>
    <w:p>
      <w:r>
        <w:t>Maintain this overview from authoritative files after approved changes. Preserve Agreed, Proposed, Playtest Target, Superseded and Open Question distinctions. Record actual technical progress only in the appropriate checkpoint/environment files. No new decision originates in this roadmap.</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EARLY LOCOMOTION  |  PROJECT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Satisfactory - Early Locomotion Project Roadmap</dc:title>
  <dc:subject>Non-authoritative roadmap maintained from canonical project files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