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8C" w:rsidRDefault="00EA03F2">
      <w:pPr>
        <w:rPr>
          <w:rFonts w:ascii="宋体" w:eastAsia="宋体" w:hAnsi="宋体" w:cs="Times New Roman"/>
          <w:color w:val="000000"/>
          <w:sz w:val="22"/>
          <w:szCs w:val="22"/>
        </w:rPr>
      </w:pPr>
      <w:bookmarkStart w:id="0" w:name="_GoBack"/>
      <w:bookmarkEnd w:id="0"/>
      <w:r>
        <w:rPr>
          <w:rFonts w:ascii="宋体" w:eastAsia="宋体" w:hAnsi="宋体" w:cs="Times New Roman" w:hint="eastAsia"/>
          <w:color w:val="000000"/>
          <w:sz w:val="22"/>
          <w:szCs w:val="22"/>
        </w:rPr>
        <w:t>要因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4337"/>
        <w:gridCol w:w="996"/>
        <w:gridCol w:w="1536"/>
      </w:tblGrid>
      <w:tr w:rsidR="0060148C">
        <w:trPr>
          <w:trHeight w:val="1200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设备空转</w:t>
            </w:r>
          </w:p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故障影响大</w:t>
            </w:r>
          </w:p>
        </w:tc>
        <w:tc>
          <w:tcPr>
            <w:tcW w:w="4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、查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X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-X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月烘干混料设备空转、故障情况，看是否对症结有影响；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2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在所有条件一致前提下，分别随机抽取设备正常和空转故障的状态下工序的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UPPH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，结果进行双样本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看对症结的影响程度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平均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耗时＜推算最小值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2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：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P≥0.05</w:t>
            </w:r>
          </w:p>
        </w:tc>
      </w:tr>
    </w:tbl>
    <w:p w:rsidR="0060148C" w:rsidRDefault="0060148C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:rsidR="0060148C" w:rsidRDefault="00EA03F2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/>
          <w:color w:val="000000"/>
          <w:sz w:val="22"/>
          <w:szCs w:val="22"/>
        </w:rPr>
        <w:t>（建立计算公式或推算当影响</w:t>
      </w:r>
      <w:r>
        <w:rPr>
          <w:rFonts w:ascii="宋体" w:eastAsia="宋体" w:hAnsi="宋体" w:cs="Times New Roman"/>
          <w:color w:val="000000"/>
          <w:sz w:val="22"/>
          <w:szCs w:val="22"/>
        </w:rPr>
        <w:t>UPPH</w:t>
      </w:r>
      <w:r>
        <w:rPr>
          <w:rFonts w:ascii="宋体" w:eastAsia="宋体" w:hAnsi="宋体" w:cs="Times New Roman"/>
          <w:color w:val="000000"/>
          <w:sz w:val="22"/>
          <w:szCs w:val="22"/>
        </w:rPr>
        <w:t>不达标时，设备空转、故障耗时的最小值</w:t>
      </w:r>
      <w:r>
        <w:rPr>
          <w:rFonts w:ascii="宋体" w:eastAsia="宋体" w:hAnsi="宋体" w:cs="Times New Roman"/>
          <w:color w:val="000000"/>
          <w:sz w:val="22"/>
          <w:szCs w:val="22"/>
        </w:rPr>
        <w:t>)</w:t>
      </w:r>
    </w:p>
    <w:p w:rsidR="0060148C" w:rsidRDefault="0060148C"/>
    <w:p w:rsidR="0060148C" w:rsidRDefault="00EA03F2">
      <w:r>
        <w:rPr>
          <w:rFonts w:hint="eastAsia"/>
        </w:rPr>
        <w:t>要因</w:t>
      </w:r>
      <w:r>
        <w:rPr>
          <w:rFonts w:hint="eastAsia"/>
        </w:rPr>
        <w:t>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2"/>
        <w:gridCol w:w="4313"/>
        <w:gridCol w:w="691"/>
        <w:gridCol w:w="1674"/>
        <w:gridCol w:w="222"/>
      </w:tblGrid>
      <w:tr w:rsidR="0060148C">
        <w:trPr>
          <w:trHeight w:val="1200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处理不合格</w:t>
            </w:r>
          </w:p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原料耗时长</w:t>
            </w:r>
          </w:p>
        </w:tc>
        <w:tc>
          <w:tcPr>
            <w:tcW w:w="2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、查近半年烘干混料工序处理不合格原料的耗时情况，看是否对症结有影响；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2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在所有条件一致前提下，分别随机抽取原料合格和不合格的状态下工序的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UPPH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，结果进行双样本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看对症结的影响程度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。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、平均耗时＜推算最小值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2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：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P≥0.05</w:t>
            </w:r>
          </w:p>
        </w:tc>
        <w:tc>
          <w:tcPr>
            <w:tcW w:w="1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0148C" w:rsidRDefault="0060148C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:rsidR="0060148C" w:rsidRDefault="0060148C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:rsidR="0060148C" w:rsidRDefault="0060148C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:rsidR="0060148C" w:rsidRDefault="0060148C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</w:tc>
      </w:tr>
    </w:tbl>
    <w:p w:rsidR="0060148C" w:rsidRDefault="00EA03F2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（建立计算公式或推算当影响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UPPH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不达标时，处理不合格原料耗时的最小值）</w:t>
      </w:r>
    </w:p>
    <w:p w:rsidR="0060148C" w:rsidRDefault="0060148C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:rsidR="0060148C" w:rsidRDefault="00EA03F2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要因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96"/>
        <w:gridCol w:w="3920"/>
        <w:gridCol w:w="719"/>
        <w:gridCol w:w="2287"/>
      </w:tblGrid>
      <w:tr w:rsidR="0060148C">
        <w:trPr>
          <w:trHeight w:val="1380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48C" w:rsidRDefault="0060148C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:rsidR="0060148C" w:rsidRDefault="00EA03F2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设备关键参数</w:t>
            </w:r>
          </w:p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设置不合理</w:t>
            </w:r>
          </w:p>
        </w:tc>
        <w:tc>
          <w:tcPr>
            <w:tcW w:w="2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、查设备关键参数的设置依据，看是否满足设备性能最大化要求；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2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在所有条件一致前提下，分别随机抽取设备性能最大化和非最大化状态下工序的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UPPH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，结果进行双样本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看对症结的影响程度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。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、关键参数设置满足设备性能最大化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  <w:t>2</w:t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：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P≥0.05</w:t>
            </w:r>
          </w:p>
        </w:tc>
      </w:tr>
    </w:tbl>
    <w:p w:rsidR="0060148C" w:rsidRDefault="0060148C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:rsidR="0060148C" w:rsidRDefault="00EA03F2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要因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97"/>
        <w:gridCol w:w="3924"/>
        <w:gridCol w:w="692"/>
        <w:gridCol w:w="2309"/>
      </w:tblGrid>
      <w:tr w:rsidR="0060148C">
        <w:trPr>
          <w:trHeight w:val="1200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148C" w:rsidRDefault="0060148C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</w:p>
          <w:p w:rsidR="0060148C" w:rsidRDefault="0060148C">
            <w:pPr>
              <w:jc w:val="both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</w:p>
          <w:p w:rsidR="0060148C" w:rsidRDefault="00EA03F2">
            <w:pPr>
              <w:ind w:firstLineChars="100" w:firstLine="220"/>
              <w:jc w:val="both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受不同清洁</w:t>
            </w:r>
          </w:p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方式影响</w:t>
            </w:r>
          </w:p>
        </w:tc>
        <w:tc>
          <w:tcPr>
            <w:tcW w:w="2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48C" w:rsidRDefault="00EA03F2">
            <w:pPr>
              <w:numPr>
                <w:ilvl w:val="0"/>
                <w:numId w:val="1"/>
              </w:numPr>
              <w:rPr>
                <w:rFonts w:ascii="宋体" w:eastAsia="宋体" w:hAnsi="宋体" w:cs="Songti SC Black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FF0000"/>
                <w:sz w:val="22"/>
                <w:szCs w:val="22"/>
              </w:rPr>
              <w:t>查近半年换批时不同清洁方式耗时情况，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看是否对症结有影响；</w:t>
            </w:r>
          </w:p>
          <w:p w:rsidR="0060148C" w:rsidRDefault="00EA03F2">
            <w:pPr>
              <w:jc w:val="both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2</w:t>
            </w:r>
            <w:r>
              <w:rPr>
                <w:rFonts w:ascii="宋体" w:eastAsia="宋体" w:hAnsi="宋体" w:cs="Songti SC Black"/>
                <w:color w:val="FF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在所有条件一致前提下，分别随机抽取不同清洁方式下工序的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UPPH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，结果进行双样本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看对症结的影响程度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。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48C" w:rsidRDefault="00EA03F2">
            <w:pPr>
              <w:jc w:val="both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平均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耗时＜推算最小值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2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、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双样本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T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2"/>
              </w:rPr>
              <w:t>检验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：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2"/>
              </w:rPr>
              <w:t>P≥0.05</w:t>
            </w:r>
          </w:p>
        </w:tc>
      </w:tr>
    </w:tbl>
    <w:p w:rsidR="0060148C" w:rsidRDefault="0060148C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:rsidR="0060148C" w:rsidRDefault="0060148C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:rsidR="0060148C" w:rsidRDefault="00EA03F2">
      <w:pPr>
        <w:rPr>
          <w:rFonts w:ascii="宋体" w:eastAsia="宋体" w:hAnsi="宋体" w:cs="Times New Roman"/>
          <w:b/>
          <w:bCs/>
          <w:color w:val="FF0000"/>
          <w:sz w:val="22"/>
          <w:szCs w:val="22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数据收集表（以要因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2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为例）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                        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空转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/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故障耗时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15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组数据</w:t>
      </w:r>
    </w:p>
    <w:p w:rsidR="0060148C" w:rsidRDefault="00EA03F2">
      <w:pPr>
        <w:rPr>
          <w:rFonts w:ascii="宋体" w:eastAsia="宋体" w:hAnsi="宋体" w:cs="Times New Roman"/>
          <w:b/>
          <w:bCs/>
          <w:color w:val="FF0000"/>
          <w:sz w:val="22"/>
          <w:szCs w:val="22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                                                      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正常耗时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15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组数据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336"/>
        <w:gridCol w:w="1200"/>
        <w:gridCol w:w="1763"/>
      </w:tblGrid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工序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UPPH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状态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6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7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8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9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12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15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16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17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18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23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24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25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26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27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28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29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  <w:tr w:rsidR="0060148C">
        <w:tc>
          <w:tcPr>
            <w:tcW w:w="1065" w:type="dxa"/>
          </w:tcPr>
          <w:p w:rsidR="0060148C" w:rsidRDefault="00EA03F2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36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30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00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763" w:type="dxa"/>
          </w:tcPr>
          <w:p w:rsidR="0060148C" w:rsidRDefault="00EA03F2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故障耗时</w:t>
            </w:r>
          </w:p>
        </w:tc>
      </w:tr>
    </w:tbl>
    <w:p w:rsidR="0060148C" w:rsidRDefault="0060148C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:rsidR="0060148C" w:rsidRDefault="00EA03F2">
      <w:pPr>
        <w:rPr>
          <w:rFonts w:ascii="宋体" w:eastAsia="宋体" w:hAnsi="宋体" w:cs="Times New Roman"/>
          <w:b/>
          <w:bCs/>
          <w:color w:val="FF0000"/>
          <w:sz w:val="22"/>
          <w:szCs w:val="22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放在</w:t>
      </w:r>
      <w:proofErr w:type="spellStart"/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minitab</w:t>
      </w:r>
      <w:proofErr w:type="spellEnd"/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数据汇总</w:t>
      </w:r>
    </w:p>
    <w:p w:rsidR="0060148C" w:rsidRDefault="00EA03F2">
      <w:pPr>
        <w:ind w:firstLineChars="300" w:firstLine="66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序号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     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列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1             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列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2</w:t>
      </w:r>
    </w:p>
    <w:p w:rsidR="0060148C" w:rsidRDefault="00EA03F2">
      <w:pPr>
        <w:ind w:firstLineChars="800" w:firstLine="176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正常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 xml:space="preserve">            </w:t>
      </w:r>
      <w:r>
        <w:rPr>
          <w:rFonts w:ascii="宋体" w:eastAsia="宋体" w:hAnsi="宋体" w:cs="Times New Roman" w:hint="eastAsia"/>
          <w:color w:val="000000"/>
          <w:sz w:val="22"/>
          <w:szCs w:val="22"/>
        </w:rPr>
        <w:t>空转故障耗时</w:t>
      </w:r>
    </w:p>
    <w:p w:rsidR="0060148C" w:rsidRDefault="00EA03F2">
      <w:pPr>
        <w:ind w:firstLineChars="400" w:firstLine="88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1        20               13.5</w:t>
      </w:r>
    </w:p>
    <w:p w:rsidR="0060148C" w:rsidRDefault="00EA03F2">
      <w:pPr>
        <w:ind w:firstLineChars="400" w:firstLine="88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2        21                14</w:t>
      </w:r>
    </w:p>
    <w:sectPr w:rsidR="00601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A91D1"/>
    <w:multiLevelType w:val="singleLevel"/>
    <w:tmpl w:val="5AFA91D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D7850"/>
    <w:rsid w:val="0060148C"/>
    <w:rsid w:val="00EA03F2"/>
    <w:rsid w:val="157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Macintosh Word</Application>
  <DocSecurity>4</DocSecurity>
  <Lines>10</Lines>
  <Paragraphs>2</Paragraphs>
  <ScaleCrop>false</ScaleCrop>
  <Company>bb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Charley</dc:creator>
  <cp:lastModifiedBy>bb 阿狗</cp:lastModifiedBy>
  <cp:revision>2</cp:revision>
  <dcterms:created xsi:type="dcterms:W3CDTF">2021-02-25T12:46:00Z</dcterms:created>
  <dcterms:modified xsi:type="dcterms:W3CDTF">2021-02-25T12:46:00Z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