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27A41"/>
          <w:sz w:val="52"/>
          <w:szCs w:val="52"/>
        </w:rPr>
        <w:t xml:space="preserve">PERFORMANCE MANAGEMENT SYSTEM</w:t>
      </w:r>
    </w:p>
    <w:p>
      <w:pPr>
        <w:spacing w:after="0" w:before="120"/>
        <w:jc w:val="center"/>
      </w:pPr>
      <w:r>
        <w:rPr>
          <w:color w:val="1F9D55"/>
          <w:sz w:val="34"/>
          <w:szCs w:val="34"/>
        </w:rPr>
        <w:t xml:space="preserve">Functional Specification</w:t>
      </w:r>
    </w:p>
    <w:p>
      <w:pPr>
        <w:pBdr>
          <w:top w:val="single" w:color="CFE3D6" w:sz="6"/>
          <w:bottom w:val="single" w:color="CFE3D6" w:sz="6"/>
        </w:pBdr>
        <w:spacing w:after="0" w:before="500"/>
        <w:jc w:val="center"/>
      </w:pPr>
      <w:r>
        <w:rPr>
          <w:color w:val="444444"/>
          <w:sz w:val="22"/>
          <w:szCs w:val="22"/>
        </w:rPr>
        <w:t xml:space="preserve">  Build-ready specification — v1.0  </w:t>
      </w:r>
    </w:p>
    <w:p>
      <w:pPr>
        <w:spacing w:before="500"/>
        <w:jc w:val="center"/>
      </w:pPr>
      <w:r>
        <w:rPr>
          <w:i/>
          <w:iCs/>
          <w:color w:val="444444"/>
          <w:sz w:val="20"/>
          <w:szCs w:val="20"/>
        </w:rPr>
        <w:t xml:space="preserve">Purpose: implement, as software, an existing manual performance management process.</w:t>
      </w:r>
    </w:p>
    <w:p>
      <w:pPr>
        <w:spacing w:before="40"/>
        <w:jc w:val="center"/>
      </w:pPr>
      <w:r>
        <w:rPr>
          <w:i/>
          <w:iCs/>
          <w:color w:val="444444"/>
          <w:sz w:val="20"/>
          <w:szCs w:val="20"/>
        </w:rPr>
        <w:t xml:space="preserve">Status: complete functional picture, ready for build.</w:t>
      </w:r>
    </w:p>
    <w:p>
      <w:r>
        <w:br w:type="page"/>
      </w:r>
    </w:p>
    <w:p>
      <w:pPr>
        <w:pStyle w:val="Heading1"/>
        <w:spacing w:after="140" w:before="320"/>
      </w:pPr>
      <w:r>
        <w:rPr>
          <w:b/>
          <w:bCs/>
          <w:color w:val="127A41"/>
          <w:sz w:val="30"/>
          <w:szCs w:val="30"/>
        </w:rPr>
        <w:t xml:space="preserve">Contents</w:t>
      </w:r>
    </w:p>
    <w:p>
      <w:pPr>
        <w:pBdr>
          <w:bottom w:val="single" w:color="E4EDE8" w:sz="2"/>
        </w:pBdr>
        <w:spacing w:after="100" w:line="276"/>
      </w:pPr>
      <w:r>
        <w:rPr>
          <w:color w:val="444444"/>
          <w:sz w:val="21"/>
          <w:szCs w:val="21"/>
        </w:rPr>
        <w:t xml:space="preserve">1. Overview</w:t>
      </w:r>
    </w:p>
    <w:p>
      <w:pPr>
        <w:pBdr>
          <w:bottom w:val="single" w:color="E4EDE8" w:sz="2"/>
        </w:pBdr>
        <w:spacing w:after="100" w:line="276"/>
      </w:pPr>
      <w:r>
        <w:rPr>
          <w:color w:val="444444"/>
          <w:sz w:val="21"/>
          <w:szCs w:val="21"/>
        </w:rPr>
        <w:t xml:space="preserve">2. Performance Cycle Cadence</w:t>
      </w:r>
    </w:p>
    <w:p>
      <w:pPr>
        <w:pBdr>
          <w:bottom w:val="single" w:color="E4EDE8" w:sz="2"/>
        </w:pBdr>
        <w:spacing w:after="100" w:line="276"/>
      </w:pPr>
      <w:r>
        <w:rPr>
          <w:color w:val="444444"/>
          <w:sz w:val="21"/>
          <w:szCs w:val="21"/>
        </w:rPr>
        <w:t xml:space="preserve">3. Org Data &amp; Setup</w:t>
      </w:r>
    </w:p>
    <w:p>
      <w:pPr>
        <w:pBdr>
          <w:bottom w:val="single" w:color="E4EDE8" w:sz="2"/>
        </w:pBdr>
        <w:spacing w:after="100" w:line="276"/>
      </w:pPr>
      <w:r>
        <w:rPr>
          <w:color w:val="444444"/>
          <w:sz w:val="21"/>
          <w:szCs w:val="21"/>
        </w:rPr>
        <w:t xml:space="preserve">4. Roles, Permissions &amp; Visibility</w:t>
      </w:r>
    </w:p>
    <w:p>
      <w:pPr>
        <w:pBdr>
          <w:bottom w:val="single" w:color="E4EDE8" w:sz="2"/>
        </w:pBdr>
        <w:spacing w:after="100" w:line="276"/>
      </w:pPr>
      <w:r>
        <w:rPr>
          <w:color w:val="444444"/>
          <w:sz w:val="21"/>
          <w:szCs w:val="21"/>
        </w:rPr>
        <w:t xml:space="preserve">5. Goal-Setting Workflow (December)</w:t>
      </w:r>
    </w:p>
    <w:p>
      <w:pPr>
        <w:pBdr>
          <w:bottom w:val="single" w:color="E4EDE8" w:sz="2"/>
        </w:pBdr>
        <w:spacing w:after="100" w:line="276"/>
      </w:pPr>
      <w:r>
        <w:rPr>
          <w:color w:val="444444"/>
          <w:sz w:val="21"/>
          <w:szCs w:val="21"/>
        </w:rPr>
        <w:t xml:space="preserve">6. Mid-Year Review (June / July)</w:t>
      </w:r>
    </w:p>
    <w:p>
      <w:pPr>
        <w:pBdr>
          <w:bottom w:val="single" w:color="E4EDE8" w:sz="2"/>
        </w:pBdr>
        <w:spacing w:after="100" w:line="276"/>
      </w:pPr>
      <w:r>
        <w:rPr>
          <w:color w:val="444444"/>
          <w:sz w:val="21"/>
          <w:szCs w:val="21"/>
        </w:rPr>
        <w:t xml:space="preserve">7. Year-End Assessment (December)</w:t>
      </w:r>
    </w:p>
    <w:p>
      <w:pPr>
        <w:pBdr>
          <w:bottom w:val="single" w:color="E4EDE8" w:sz="2"/>
        </w:pBdr>
        <w:spacing w:after="100" w:line="276"/>
      </w:pPr>
      <w:r>
        <w:rPr>
          <w:color w:val="444444"/>
          <w:sz w:val="21"/>
          <w:szCs w:val="21"/>
        </w:rPr>
        <w:t xml:space="preserve">8. Scoring Model</w:t>
      </w:r>
    </w:p>
    <w:p>
      <w:pPr>
        <w:pBdr>
          <w:bottom w:val="single" w:color="E4EDE8" w:sz="2"/>
        </w:pBdr>
        <w:spacing w:after="100" w:line="276"/>
      </w:pPr>
      <w:r>
        <w:rPr>
          <w:color w:val="444444"/>
          <w:sz w:val="21"/>
          <w:szCs w:val="21"/>
        </w:rPr>
        <w:t xml:space="preserve">9. 360 Assessment Module</w:t>
      </w:r>
    </w:p>
    <w:p>
      <w:pPr>
        <w:pBdr>
          <w:bottom w:val="single" w:color="E4EDE8" w:sz="2"/>
        </w:pBdr>
        <w:spacing w:after="100" w:line="276"/>
      </w:pPr>
      <w:r>
        <w:rPr>
          <w:color w:val="444444"/>
          <w:sz w:val="21"/>
          <w:szCs w:val="21"/>
        </w:rPr>
        <w:t xml:space="preserve">10. Calibration / Bell Curve Layer</w:t>
      </w:r>
    </w:p>
    <w:p>
      <w:pPr>
        <w:pBdr>
          <w:bottom w:val="single" w:color="E4EDE8" w:sz="2"/>
        </w:pBdr>
        <w:spacing w:after="100" w:line="276"/>
      </w:pPr>
      <w:r>
        <w:rPr>
          <w:color w:val="444444"/>
          <w:sz w:val="21"/>
          <w:szCs w:val="21"/>
        </w:rPr>
        <w:t xml:space="preserve">11. Bonus</w:t>
      </w:r>
    </w:p>
    <w:p>
      <w:pPr>
        <w:pBdr>
          <w:bottom w:val="single" w:color="E4EDE8" w:sz="2"/>
        </w:pBdr>
        <w:spacing w:after="100" w:line="276"/>
      </w:pPr>
      <w:r>
        <w:rPr>
          <w:color w:val="444444"/>
          <w:sz w:val="21"/>
          <w:szCs w:val="21"/>
        </w:rPr>
        <w:t xml:space="preserve">12. Edge Cases</w:t>
      </w:r>
    </w:p>
    <w:p>
      <w:pPr>
        <w:pBdr>
          <w:bottom w:val="single" w:color="E4EDE8" w:sz="2"/>
        </w:pBdr>
        <w:spacing w:after="100" w:line="276"/>
      </w:pPr>
      <w:r>
        <w:rPr>
          <w:color w:val="444444"/>
          <w:sz w:val="21"/>
          <w:szCs w:val="21"/>
        </w:rPr>
        <w:t xml:space="preserve">13. Outputs &amp; Reporting</w:t>
      </w:r>
    </w:p>
    <w:p>
      <w:pPr>
        <w:pBdr>
          <w:bottom w:val="single" w:color="E4EDE8" w:sz="2"/>
        </w:pBdr>
        <w:spacing w:after="100" w:line="276"/>
      </w:pPr>
      <w:r>
        <w:rPr>
          <w:color w:val="444444"/>
          <w:sz w:val="21"/>
          <w:szCs w:val="21"/>
        </w:rPr>
        <w:t xml:space="preserve">14. Build Approach (v1 → v2)</w:t>
      </w:r>
    </w:p>
    <w:p>
      <w:pPr>
        <w:pBdr>
          <w:bottom w:val="single" w:color="E4EDE8" w:sz="2"/>
        </w:pBdr>
        <w:spacing w:after="100" w:line="276"/>
      </w:pPr>
      <w:r>
        <w:rPr>
          <w:color w:val="444444"/>
          <w:sz w:val="21"/>
          <w:szCs w:val="21"/>
        </w:rPr>
        <w:t xml:space="preserve">Appendix A — Core System Principles (design invariants)</w:t>
      </w:r>
    </w:p>
    <w:p>
      <w:r>
        <w:br w:type="page"/>
      </w:r>
    </w:p>
    <w:p>
      <w:pPr>
        <w:pStyle w:val="Heading1"/>
        <w:spacing w:after="140" w:before="320"/>
      </w:pPr>
      <w:r>
        <w:rPr>
          <w:b/>
          <w:bCs/>
          <w:color w:val="127A41"/>
          <w:sz w:val="30"/>
          <w:szCs w:val="30"/>
        </w:rPr>
        <w:t xml:space="preserve">1. Overview</w:t>
      </w:r>
    </w:p>
    <w:p>
      <w:pPr>
        <w:pStyle w:val="Heading3"/>
        <w:spacing w:after="70" w:before="160"/>
      </w:pPr>
      <w:r>
        <w:rPr>
          <w:b/>
          <w:bCs/>
          <w:color w:val="444444"/>
          <w:sz w:val="21"/>
          <w:szCs w:val="21"/>
        </w:rPr>
        <w:t xml:space="preserve">1.1 Objective</w:t>
      </w:r>
    </w:p>
    <w:p>
      <w:pPr>
        <w:spacing w:after="90" w:line="276"/>
      </w:pPr>
      <w:r>
        <w:rPr>
          <w:color w:val="444444"/>
          <w:sz w:val="20"/>
          <w:szCs w:val="20"/>
        </w:rPr>
        <w:t xml:space="preserve">Build a system that faithfully implements the organization's existing manual performance management process. The system is not a redesign of the methodology — it automates and enforces the process as it operates today, adding auditability, deadline governance, and reporting.</w:t>
      </w:r>
    </w:p>
    <w:p>
      <w:pPr>
        <w:pStyle w:val="Heading3"/>
        <w:spacing w:after="70" w:before="160"/>
      </w:pPr>
      <w:r>
        <w:rPr>
          <w:b/>
          <w:bCs/>
          <w:color w:val="444444"/>
          <w:sz w:val="21"/>
          <w:szCs w:val="21"/>
        </w:rPr>
        <w:t xml:space="preserve">1.2 Organizational structure</w:t>
      </w:r>
    </w:p>
    <w:p>
      <w:pPr>
        <w:spacing w:after="90" w:line="276"/>
      </w:pPr>
      <w:r>
        <w:rPr>
          <w:color w:val="444444"/>
          <w:sz w:val="20"/>
          <w:szCs w:val="20"/>
        </w:rPr>
        <w:t xml:space="preserve">The organization is a group of three entities:</w:t>
      </w:r>
    </w:p>
    <w:p>
      <w:pPr>
        <w:pStyle w:val="ListParagraph"/>
        <w:numPr>
          <w:ilvl w:val="0"/>
          <w:numId w:val="2"/>
        </w:numPr>
        <w:spacing w:after="50" w:line="268"/>
      </w:pPr>
      <w:r>
        <w:rPr>
          <w:b/>
          <w:bCs/>
          <w:color w:val="444444"/>
          <w:sz w:val="20"/>
          <w:szCs w:val="20"/>
        </w:rPr>
        <w:t xml:space="preserve">Rihal</w:t>
      </w:r>
      <w:r>
        <w:rPr>
          <w:color w:val="444444"/>
          <w:sz w:val="20"/>
          <w:szCs w:val="20"/>
        </w:rPr>
        <w:t xml:space="preserve"> (parent)</w:t>
      </w:r>
    </w:p>
    <w:p>
      <w:pPr>
        <w:pStyle w:val="ListParagraph"/>
        <w:numPr>
          <w:ilvl w:val="0"/>
          <w:numId w:val="2"/>
        </w:numPr>
        <w:spacing w:after="50" w:line="268"/>
      </w:pPr>
      <w:r>
        <w:rPr>
          <w:b/>
          <w:bCs/>
          <w:color w:val="444444"/>
          <w:sz w:val="20"/>
          <w:szCs w:val="20"/>
        </w:rPr>
        <w:t xml:space="preserve">TP</w:t>
      </w:r>
      <w:r>
        <w:rPr>
          <w:color w:val="444444"/>
          <w:sz w:val="20"/>
          <w:szCs w:val="20"/>
        </w:rPr>
        <w:t xml:space="preserve"> (subsidiary)</w:t>
      </w:r>
    </w:p>
    <w:p>
      <w:pPr>
        <w:pStyle w:val="ListParagraph"/>
        <w:numPr>
          <w:ilvl w:val="0"/>
          <w:numId w:val="2"/>
        </w:numPr>
        <w:spacing w:after="50" w:line="268"/>
      </w:pPr>
      <w:r>
        <w:rPr>
          <w:b/>
          <w:bCs/>
          <w:color w:val="444444"/>
          <w:sz w:val="20"/>
          <w:szCs w:val="20"/>
        </w:rPr>
        <w:t xml:space="preserve">CL</w:t>
      </w:r>
      <w:r>
        <w:rPr>
          <w:color w:val="444444"/>
          <w:sz w:val="20"/>
          <w:szCs w:val="20"/>
        </w:rPr>
        <w:t xml:space="preserve"> (subsidiary)</w:t>
      </w:r>
    </w:p>
    <w:p>
      <w:pPr>
        <w:spacing w:after="90" w:line="276"/>
      </w:pPr>
      <w:r>
        <w:rPr>
          <w:color w:val="444444"/>
          <w:sz w:val="20"/>
          <w:szCs w:val="20"/>
        </w:rPr>
        <w:t xml:space="preserve">Each employee belongs to exactly one department, and each department belongs to exactly one entity. Therefore an employee's entity is implied by their department.</w:t>
      </w:r>
    </w:p>
    <w:p>
      <w:pPr>
        <w:pStyle w:val="ListParagraph"/>
        <w:numPr>
          <w:ilvl w:val="0"/>
          <w:numId w:val="2"/>
        </w:numPr>
        <w:spacing w:after="50" w:line="268"/>
      </w:pPr>
      <w:r>
        <w:rPr>
          <w:color w:val="444444"/>
          <w:sz w:val="20"/>
          <w:szCs w:val="20"/>
        </w:rPr>
        <w:t xml:space="preserve">Departments are unique to their entity (e.g. "Rihal Marketing", "TP Sales", "CL Sales" are distinct departments).</w:t>
      </w:r>
    </w:p>
    <w:p>
      <w:pPr>
        <w:pStyle w:val="ListParagraph"/>
        <w:numPr>
          <w:ilvl w:val="0"/>
          <w:numId w:val="2"/>
        </w:numPr>
        <w:spacing w:after="50" w:line="268"/>
      </w:pPr>
      <w:r>
        <w:rPr>
          <w:color w:val="444444"/>
          <w:sz w:val="20"/>
          <w:szCs w:val="20"/>
        </w:rPr>
        <w:t xml:space="preserve">Central/shared-service functions (HR, Finance, Admin, IT and similar) exist only in Rihal. Employees in them are Rihal employees and receive Rihal's Corporate score.</w:t>
      </w:r>
    </w:p>
    <w:p>
      <w:pPr>
        <w:pStyle w:val="ListParagraph"/>
        <w:numPr>
          <w:ilvl w:val="0"/>
          <w:numId w:val="2"/>
        </w:numPr>
        <w:spacing w:after="50" w:line="268"/>
      </w:pPr>
      <w:r>
        <w:rPr>
          <w:b/>
          <w:bCs/>
          <w:color w:val="444444"/>
          <w:sz w:val="20"/>
          <w:szCs w:val="20"/>
        </w:rPr>
        <w:t xml:space="preserve">C-Level</w:t>
      </w:r>
      <w:r>
        <w:rPr>
          <w:color w:val="444444"/>
          <w:sz w:val="20"/>
          <w:szCs w:val="20"/>
        </w:rPr>
        <w:t xml:space="preserve"> employees are the exception: they are tagged to an entity directly, with no department.</w:t>
      </w:r>
    </w:p>
    <w:p>
      <w:pPr>
        <w:pStyle w:val="Heading3"/>
        <w:spacing w:after="70" w:before="160"/>
      </w:pPr>
      <w:r>
        <w:rPr>
          <w:b/>
          <w:bCs/>
          <w:color w:val="444444"/>
          <w:sz w:val="21"/>
          <w:szCs w:val="21"/>
        </w:rPr>
        <w:t xml:space="preserve">1.3 Role tracks</w:t>
      </w:r>
    </w:p>
    <w:p>
      <w:pPr>
        <w:spacing w:after="90" w:line="276"/>
      </w:pPr>
      <w:r>
        <w:rPr>
          <w:color w:val="444444"/>
          <w:sz w:val="20"/>
          <w:szCs w:val="20"/>
        </w:rPr>
        <w:t xml:space="preserve">Every employee is tagged to exactly one of five role tracks, which determines their scoring formula: C-Level, Director, Manager, Lead, Individual.</w:t>
      </w:r>
    </w:p>
    <w:p>
      <w:pPr>
        <w:pBdr>
          <w:bottom w:val="single" w:color="CFE3D6" w:sz="6"/>
        </w:pBdr>
        <w:spacing w:after="120" w:before="60"/>
      </w:pPr>
      <w:r>
        <w:rPr>
          <w:sz w:val="2"/>
          <w:szCs w:val="2"/>
        </w:rPr>
        <w:t xml:space="preserve"/>
      </w:r>
    </w:p>
    <w:p>
      <w:pPr>
        <w:pStyle w:val="Heading1"/>
        <w:spacing w:after="140" w:before="320"/>
      </w:pPr>
      <w:r>
        <w:rPr>
          <w:b/>
          <w:bCs/>
          <w:color w:val="127A41"/>
          <w:sz w:val="30"/>
          <w:szCs w:val="30"/>
        </w:rPr>
        <w:t xml:space="preserve">2. Performance Cycle Cadence</w:t>
      </w:r>
    </w:p>
    <w:p>
      <w:pPr>
        <w:spacing w:after="90" w:line="276"/>
      </w:pPr>
      <w:r>
        <w:rPr>
          <w:color w:val="444444"/>
          <w:sz w:val="20"/>
          <w:szCs w:val="20"/>
        </w:rPr>
        <w:t xml:space="preserve">The cycle is annual, with three touchpoints:</w:t>
      </w:r>
    </w:p>
    <w:tbl>
      <w:tblPr>
        <w:tblW w:type="dxa" w:w="9840"/>
        <w:tblBorders>
          <w:top w:val="single" w:color="CFE3D6" w:sz="4"/>
          <w:left w:val="single" w:color="CFE3D6" w:sz="4"/>
          <w:bottom w:val="single" w:color="CFE3D6" w:sz="4"/>
          <w:right w:val="single" w:color="CFE3D6" w:sz="4"/>
          <w:insideH w:val="single" w:color="CFE3D6" w:sz="4"/>
          <w:insideV w:val="single" w:color="CFE3D6" w:sz="4"/>
        </w:tblBorders>
      </w:tblPr>
      <w:tblGrid>
        <w:gridCol w:w="2400"/>
        <w:gridCol w:w="2900"/>
        <w:gridCol w:w="4540"/>
      </w:tblGrid>
      <w:tr>
        <w:trPr>
          <w:tblHeader/>
        </w:trPr>
        <w:tc>
          <w:tcPr>
            <w:tcW w:type="dxa" w:w="2400"/>
            <w:shd w:fill="1F9D55" w:color="auto" w:val="clear"/>
            <w:tcMar>
              <w:top w:type="dxa" w:w="60"/>
              <w:left w:type="dxa" w:w="100"/>
              <w:bottom w:type="dxa" w:w="60"/>
              <w:right w:type="dxa" w:w="100"/>
            </w:tcMar>
          </w:tcPr>
          <w:p>
            <w:pPr>
              <w:spacing w:after="0" w:line="252"/>
              <w:jc w:val="left"/>
            </w:pPr>
            <w:r>
              <w:rPr>
                <w:b/>
                <w:bCs/>
                <w:color w:val="FFFFFF"/>
                <w:sz w:val="19"/>
                <w:szCs w:val="19"/>
              </w:rPr>
              <w:t xml:space="preserve">Touchpoint</w:t>
            </w:r>
          </w:p>
        </w:tc>
        <w:tc>
          <w:tcPr>
            <w:tcW w:type="dxa" w:w="2900"/>
            <w:shd w:fill="1F9D55" w:color="auto" w:val="clear"/>
            <w:tcMar>
              <w:top w:type="dxa" w:w="60"/>
              <w:left w:type="dxa" w:w="100"/>
              <w:bottom w:type="dxa" w:w="60"/>
              <w:right w:type="dxa" w:w="100"/>
            </w:tcMar>
          </w:tcPr>
          <w:p>
            <w:pPr>
              <w:spacing w:after="0" w:line="252"/>
              <w:jc w:val="center"/>
            </w:pPr>
            <w:r>
              <w:rPr>
                <w:b/>
                <w:bCs/>
                <w:color w:val="FFFFFF"/>
                <w:sz w:val="19"/>
                <w:szCs w:val="19"/>
              </w:rPr>
              <w:t xml:space="preserve">Timing</w:t>
            </w:r>
          </w:p>
        </w:tc>
        <w:tc>
          <w:tcPr>
            <w:tcW w:type="dxa" w:w="4540"/>
            <w:shd w:fill="1F9D55" w:color="auto" w:val="clear"/>
            <w:tcMar>
              <w:top w:type="dxa" w:w="60"/>
              <w:left w:type="dxa" w:w="100"/>
              <w:bottom w:type="dxa" w:w="60"/>
              <w:right w:type="dxa" w:w="100"/>
            </w:tcMar>
          </w:tcPr>
          <w:p>
            <w:pPr>
              <w:spacing w:after="0" w:line="252"/>
              <w:jc w:val="center"/>
            </w:pPr>
            <w:r>
              <w:rPr>
                <w:b/>
                <w:bCs/>
                <w:color w:val="FFFFFF"/>
                <w:sz w:val="19"/>
                <w:szCs w:val="19"/>
              </w:rPr>
              <w:t xml:space="preserve">Purpose</w:t>
            </w:r>
          </w:p>
        </w:tc>
      </w:tr>
      <w:tr>
        <w:tc>
          <w:tcPr>
            <w:tcW w:type="dxa" w:w="2400"/>
            <w:tcMar>
              <w:top w:type="dxa" w:w="60"/>
              <w:left w:type="dxa" w:w="100"/>
              <w:bottom w:type="dxa" w:w="60"/>
              <w:right w:type="dxa" w:w="100"/>
            </w:tcMar>
          </w:tcPr>
          <w:p>
            <w:pPr>
              <w:spacing w:after="0" w:line="252"/>
              <w:jc w:val="left"/>
            </w:pPr>
            <w:r>
              <w:rPr>
                <w:b w:val="false"/>
                <w:bCs w:val="false"/>
                <w:color w:val="444444"/>
                <w:sz w:val="19"/>
                <w:szCs w:val="19"/>
              </w:rPr>
              <w:t xml:space="preserve">Goal-setting</w:t>
            </w:r>
          </w:p>
        </w:tc>
        <w:tc>
          <w:tcPr>
            <w:tcW w:type="dxa" w:w="2900"/>
            <w:tcMar>
              <w:top w:type="dxa" w:w="60"/>
              <w:left w:type="dxa" w:w="100"/>
              <w:bottom w:type="dxa" w:w="60"/>
              <w:right w:type="dxa" w:w="100"/>
            </w:tcMar>
          </w:tcPr>
          <w:p>
            <w:pPr>
              <w:spacing w:after="0" w:line="252"/>
              <w:jc w:val="center"/>
            </w:pPr>
            <w:r>
              <w:rPr>
                <w:b w:val="false"/>
                <w:bCs w:val="false"/>
                <w:color w:val="444444"/>
                <w:sz w:val="19"/>
                <w:szCs w:val="19"/>
              </w:rPr>
              <w:t xml:space="preserve">December (of prior year)</w:t>
            </w:r>
          </w:p>
        </w:tc>
        <w:tc>
          <w:tcPr>
            <w:tcW w:type="dxa" w:w="4540"/>
            <w:tcMar>
              <w:top w:type="dxa" w:w="60"/>
              <w:left w:type="dxa" w:w="100"/>
              <w:bottom w:type="dxa" w:w="60"/>
              <w:right w:type="dxa" w:w="100"/>
            </w:tcMar>
          </w:tcPr>
          <w:p>
            <w:pPr>
              <w:spacing w:after="0" w:line="252"/>
              <w:jc w:val="center"/>
            </w:pPr>
            <w:r>
              <w:rPr>
                <w:b w:val="false"/>
                <w:bCs w:val="false"/>
                <w:color w:val="444444"/>
                <w:sz w:val="19"/>
                <w:szCs w:val="19"/>
              </w:rPr>
              <w:t xml:space="preserve">Set KPIs for the coming performance year</w:t>
            </w:r>
          </w:p>
        </w:tc>
      </w:tr>
      <w:tr>
        <w:tc>
          <w:tcPr>
            <w:tcW w:type="dxa" w:w="2400"/>
            <w:shd w:fill="F2F5F3" w:color="auto" w:val="clear"/>
            <w:tcMar>
              <w:top w:type="dxa" w:w="60"/>
              <w:left w:type="dxa" w:w="100"/>
              <w:bottom w:type="dxa" w:w="60"/>
              <w:right w:type="dxa" w:w="100"/>
            </w:tcMar>
          </w:tcPr>
          <w:p>
            <w:pPr>
              <w:spacing w:after="0" w:line="252"/>
              <w:jc w:val="left"/>
            </w:pPr>
            <w:r>
              <w:rPr>
                <w:b w:val="false"/>
                <w:bCs w:val="false"/>
                <w:color w:val="444444"/>
                <w:sz w:val="19"/>
                <w:szCs w:val="19"/>
              </w:rPr>
              <w:t xml:space="preserve">Mid-year review</w:t>
            </w:r>
          </w:p>
        </w:tc>
        <w:tc>
          <w:tcPr>
            <w:tcW w:type="dxa" w:w="290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June / July</w:t>
            </w:r>
          </w:p>
        </w:tc>
        <w:tc>
          <w:tcPr>
            <w:tcW w:type="dxa" w:w="454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Progress check + optional KPI adjustment. No scoring.</w:t>
            </w:r>
          </w:p>
        </w:tc>
      </w:tr>
      <w:tr>
        <w:tc>
          <w:tcPr>
            <w:tcW w:type="dxa" w:w="2400"/>
            <w:tcMar>
              <w:top w:type="dxa" w:w="60"/>
              <w:left w:type="dxa" w:w="100"/>
              <w:bottom w:type="dxa" w:w="60"/>
              <w:right w:type="dxa" w:w="100"/>
            </w:tcMar>
          </w:tcPr>
          <w:p>
            <w:pPr>
              <w:spacing w:after="0" w:line="252"/>
              <w:jc w:val="left"/>
            </w:pPr>
            <w:r>
              <w:rPr>
                <w:b w:val="false"/>
                <w:bCs w:val="false"/>
                <w:color w:val="444444"/>
                <w:sz w:val="19"/>
                <w:szCs w:val="19"/>
              </w:rPr>
              <w:t xml:space="preserve">Year-end review</w:t>
            </w:r>
          </w:p>
        </w:tc>
        <w:tc>
          <w:tcPr>
            <w:tcW w:type="dxa" w:w="2900"/>
            <w:tcMar>
              <w:top w:type="dxa" w:w="60"/>
              <w:left w:type="dxa" w:w="100"/>
              <w:bottom w:type="dxa" w:w="60"/>
              <w:right w:type="dxa" w:w="100"/>
            </w:tcMar>
          </w:tcPr>
          <w:p>
            <w:pPr>
              <w:spacing w:after="0" w:line="252"/>
              <w:jc w:val="center"/>
            </w:pPr>
            <w:r>
              <w:rPr>
                <w:b w:val="false"/>
                <w:bCs w:val="false"/>
                <w:color w:val="444444"/>
                <w:sz w:val="19"/>
                <w:szCs w:val="19"/>
              </w:rPr>
              <w:t xml:space="preserve">December</w:t>
            </w:r>
          </w:p>
        </w:tc>
        <w:tc>
          <w:tcPr>
            <w:tcW w:type="dxa" w:w="4540"/>
            <w:tcMar>
              <w:top w:type="dxa" w:w="60"/>
              <w:left w:type="dxa" w:w="100"/>
              <w:bottom w:type="dxa" w:w="60"/>
              <w:right w:type="dxa" w:w="100"/>
            </w:tcMar>
          </w:tcPr>
          <w:p>
            <w:pPr>
              <w:spacing w:after="0" w:line="252"/>
              <w:jc w:val="center"/>
            </w:pPr>
            <w:r>
              <w:rPr>
                <w:b w:val="false"/>
                <w:bCs w:val="false"/>
                <w:color w:val="444444"/>
                <w:sz w:val="19"/>
                <w:szCs w:val="19"/>
              </w:rPr>
              <w:t xml:space="preserve">Formal assessment and scoring</w:t>
            </w:r>
          </w:p>
        </w:tc>
      </w:tr>
    </w:tbl>
    <w:p>
      <w:pPr>
        <w:spacing w:after="80"/>
      </w:pPr>
      <w:r>
        <w:rPr>
          <w:sz w:val="2"/>
          <w:szCs w:val="2"/>
        </w:rPr>
        <w:t xml:space="preserve"/>
      </w:r>
    </w:p>
    <w:p>
      <w:pPr>
        <w:pStyle w:val="ListParagraph"/>
        <w:numPr>
          <w:ilvl w:val="0"/>
          <w:numId w:val="2"/>
        </w:numPr>
        <w:spacing w:after="50" w:line="268"/>
      </w:pPr>
      <w:r>
        <w:rPr>
          <w:color w:val="444444"/>
          <w:sz w:val="20"/>
          <w:szCs w:val="20"/>
        </w:rPr>
        <w:t xml:space="preserve">HR kicks off the cycle (sends the December reminder to managers to set up next year's KPIs).</w:t>
      </w:r>
    </w:p>
    <w:p>
      <w:pPr>
        <w:pStyle w:val="ListParagraph"/>
        <w:numPr>
          <w:ilvl w:val="0"/>
          <w:numId w:val="2"/>
        </w:numPr>
        <w:spacing w:after="50" w:line="268"/>
      </w:pPr>
      <w:r>
        <w:rPr>
          <w:color w:val="444444"/>
          <w:sz w:val="20"/>
          <w:szCs w:val="20"/>
        </w:rPr>
        <w:t xml:space="preserve">Scoring happens once, at year-end. Mid-year is a course-correction only.</w:t>
      </w:r>
    </w:p>
    <w:p>
      <w:pPr>
        <w:pStyle w:val="ListParagraph"/>
        <w:numPr>
          <w:ilvl w:val="0"/>
          <w:numId w:val="2"/>
        </w:numPr>
        <w:spacing w:after="50" w:line="268"/>
      </w:pPr>
      <w:r>
        <w:rPr>
          <w:color w:val="444444"/>
          <w:sz w:val="20"/>
          <w:szCs w:val="20"/>
        </w:rPr>
        <w:t xml:space="preserve">HR sets deadlines for each stage. Deadlines are hard locks (see §5.4).</w:t>
      </w:r>
    </w:p>
    <w:p>
      <w:pPr>
        <w:pBdr>
          <w:bottom w:val="single" w:color="CFE3D6" w:sz="6"/>
        </w:pBdr>
        <w:spacing w:after="120" w:before="60"/>
      </w:pPr>
      <w:r>
        <w:rPr>
          <w:sz w:val="2"/>
          <w:szCs w:val="2"/>
        </w:rPr>
        <w:t xml:space="preserve"/>
      </w:r>
    </w:p>
    <w:p>
      <w:pPr>
        <w:pStyle w:val="Heading1"/>
        <w:spacing w:after="140" w:before="320"/>
      </w:pPr>
      <w:r>
        <w:rPr>
          <w:b/>
          <w:bCs/>
          <w:color w:val="127A41"/>
          <w:sz w:val="30"/>
          <w:szCs w:val="30"/>
        </w:rPr>
        <w:t xml:space="preserve">3. Org Data &amp; Setup</w:t>
      </w:r>
    </w:p>
    <w:p>
      <w:pPr>
        <w:pStyle w:val="Heading3"/>
        <w:spacing w:after="70" w:before="160"/>
      </w:pPr>
      <w:r>
        <w:rPr>
          <w:b/>
          <w:bCs/>
          <w:color w:val="444444"/>
          <w:sz w:val="21"/>
          <w:szCs w:val="21"/>
        </w:rPr>
        <w:t xml:space="preserve">3.1 Source of truth</w:t>
      </w:r>
    </w:p>
    <w:p>
      <w:pPr>
        <w:pStyle w:val="ListParagraph"/>
        <w:numPr>
          <w:ilvl w:val="0"/>
          <w:numId w:val="2"/>
        </w:numPr>
        <w:spacing w:after="50" w:line="268"/>
      </w:pPr>
      <w:r>
        <w:rPr>
          <w:b/>
          <w:bCs/>
          <w:color w:val="444444"/>
          <w:sz w:val="20"/>
          <w:szCs w:val="20"/>
        </w:rPr>
        <w:t xml:space="preserve">v1: </w:t>
      </w:r>
      <w:r>
        <w:rPr>
          <w:color w:val="444444"/>
          <w:sz w:val="20"/>
          <w:szCs w:val="20"/>
        </w:rPr>
        <w:t xml:space="preserve">Employee and org data is loaded via Excel import.</w:t>
      </w:r>
    </w:p>
    <w:p>
      <w:pPr>
        <w:pStyle w:val="ListParagraph"/>
        <w:numPr>
          <w:ilvl w:val="0"/>
          <w:numId w:val="2"/>
        </w:numPr>
        <w:spacing w:after="50" w:line="268"/>
      </w:pPr>
      <w:r>
        <w:rPr>
          <w:b/>
          <w:bCs/>
          <w:color w:val="444444"/>
          <w:sz w:val="20"/>
          <w:szCs w:val="20"/>
        </w:rPr>
        <w:t xml:space="preserve">v2 (future): </w:t>
      </w:r>
      <w:r>
        <w:rPr>
          <w:color w:val="444444"/>
          <w:sz w:val="20"/>
          <w:szCs w:val="20"/>
        </w:rPr>
        <w:t xml:space="preserve">Sync from Odoo HRIS (the organization's HRIS).</w:t>
      </w:r>
    </w:p>
    <w:p>
      <w:pPr>
        <w:pStyle w:val="ListParagraph"/>
        <w:numPr>
          <w:ilvl w:val="0"/>
          <w:numId w:val="2"/>
        </w:numPr>
        <w:spacing w:after="50" w:line="268"/>
      </w:pPr>
      <w:r>
        <w:rPr>
          <w:b/>
          <w:bCs/>
          <w:color w:val="444444"/>
          <w:sz w:val="20"/>
          <w:szCs w:val="20"/>
        </w:rPr>
        <w:t xml:space="preserve">Build requirement: </w:t>
      </w:r>
      <w:r>
        <w:rPr>
          <w:color w:val="444444"/>
          <w:sz w:val="20"/>
          <w:szCs w:val="20"/>
        </w:rPr>
        <w:t xml:space="preserve">Implement import as an import layer writing into an internal employee table the system owns. Excel is one loader; Odoo becomes a second loader into the same table. Downstream logic must never read the import file directly.</w:t>
      </w:r>
    </w:p>
    <w:p>
      <w:pPr>
        <w:pStyle w:val="Heading3"/>
        <w:spacing w:after="70" w:before="160"/>
      </w:pPr>
      <w:r>
        <w:rPr>
          <w:b/>
          <w:bCs/>
          <w:color w:val="444444"/>
          <w:sz w:val="21"/>
          <w:szCs w:val="21"/>
        </w:rPr>
        <w:t xml:space="preserve">3.2 Stable key</w:t>
      </w:r>
    </w:p>
    <w:p>
      <w:pPr>
        <w:pStyle w:val="ListParagraph"/>
        <w:numPr>
          <w:ilvl w:val="0"/>
          <w:numId w:val="2"/>
        </w:numPr>
        <w:spacing w:after="50" w:line="268"/>
      </w:pPr>
      <w:r>
        <w:rPr>
          <w:color w:val="444444"/>
          <w:sz w:val="20"/>
          <w:szCs w:val="20"/>
        </w:rPr>
        <w:t xml:space="preserve">The Odoo employee ID is the permanent, unique key for every employee, used from day one (including in the Excel).</w:t>
      </w:r>
    </w:p>
    <w:p>
      <w:pPr>
        <w:pStyle w:val="ListParagraph"/>
        <w:numPr>
          <w:ilvl w:val="0"/>
          <w:numId w:val="2"/>
        </w:numPr>
        <w:spacing w:after="50" w:line="268"/>
      </w:pPr>
      <w:r>
        <w:rPr>
          <w:color w:val="444444"/>
          <w:sz w:val="20"/>
          <w:szCs w:val="20"/>
        </w:rPr>
        <w:t xml:space="preserve">All records (KPIs, sign-offs, 360 assignments, scores, audit entries) attach to this ID.</w:t>
      </w:r>
    </w:p>
    <w:p>
      <w:pPr>
        <w:pStyle w:val="ListParagraph"/>
        <w:numPr>
          <w:ilvl w:val="0"/>
          <w:numId w:val="2"/>
        </w:numPr>
        <w:spacing w:after="50" w:line="268"/>
      </w:pPr>
      <w:r>
        <w:rPr>
          <w:color w:val="444444"/>
          <w:sz w:val="20"/>
          <w:szCs w:val="20"/>
        </w:rPr>
        <w:t xml:space="preserve">IDs must never shift on re-import.</w:t>
      </w:r>
    </w:p>
    <w:p>
      <w:pPr>
        <w:pStyle w:val="Heading3"/>
        <w:spacing w:after="70" w:before="160"/>
      </w:pPr>
      <w:r>
        <w:rPr>
          <w:b/>
          <w:bCs/>
          <w:color w:val="444444"/>
          <w:sz w:val="21"/>
          <w:szCs w:val="21"/>
        </w:rPr>
        <w:t xml:space="preserve">3.3 Required employee data fields</w:t>
      </w:r>
    </w:p>
    <w:tbl>
      <w:tblPr>
        <w:tblW w:type="dxa" w:w="9840"/>
        <w:tblBorders>
          <w:top w:val="single" w:color="CFE3D6" w:sz="4"/>
          <w:left w:val="single" w:color="CFE3D6" w:sz="4"/>
          <w:bottom w:val="single" w:color="CFE3D6" w:sz="4"/>
          <w:right w:val="single" w:color="CFE3D6" w:sz="4"/>
          <w:insideH w:val="single" w:color="CFE3D6" w:sz="4"/>
          <w:insideV w:val="single" w:color="CFE3D6" w:sz="4"/>
        </w:tblBorders>
      </w:tblPr>
      <w:tblGrid>
        <w:gridCol w:w="3000"/>
        <w:gridCol w:w="6840"/>
      </w:tblGrid>
      <w:tr>
        <w:trPr>
          <w:tblHeader/>
        </w:trPr>
        <w:tc>
          <w:tcPr>
            <w:tcW w:type="dxa" w:w="3000"/>
            <w:shd w:fill="1F9D55" w:color="auto" w:val="clear"/>
            <w:tcMar>
              <w:top w:type="dxa" w:w="60"/>
              <w:left w:type="dxa" w:w="100"/>
              <w:bottom w:type="dxa" w:w="60"/>
              <w:right w:type="dxa" w:w="100"/>
            </w:tcMar>
          </w:tcPr>
          <w:p>
            <w:pPr>
              <w:spacing w:after="0" w:line="252"/>
              <w:jc w:val="left"/>
            </w:pPr>
            <w:r>
              <w:rPr>
                <w:b/>
                <w:bCs/>
                <w:color w:val="FFFFFF"/>
                <w:sz w:val="19"/>
                <w:szCs w:val="19"/>
              </w:rPr>
              <w:t xml:space="preserve">Field</w:t>
            </w:r>
          </w:p>
        </w:tc>
        <w:tc>
          <w:tcPr>
            <w:tcW w:type="dxa" w:w="6840"/>
            <w:shd w:fill="1F9D55" w:color="auto" w:val="clear"/>
            <w:tcMar>
              <w:top w:type="dxa" w:w="60"/>
              <w:left w:type="dxa" w:w="100"/>
              <w:bottom w:type="dxa" w:w="60"/>
              <w:right w:type="dxa" w:w="100"/>
            </w:tcMar>
          </w:tcPr>
          <w:p>
            <w:pPr>
              <w:spacing w:after="0" w:line="252"/>
              <w:jc w:val="center"/>
            </w:pPr>
            <w:r>
              <w:rPr>
                <w:b/>
                <w:bCs/>
                <w:color w:val="FFFFFF"/>
                <w:sz w:val="19"/>
                <w:szCs w:val="19"/>
              </w:rPr>
              <w:t xml:space="preserve">Notes</w:t>
            </w:r>
          </w:p>
        </w:tc>
      </w:tr>
      <w:tr>
        <w:tc>
          <w:tcPr>
            <w:tcW w:type="dxa" w:w="3000"/>
            <w:tcMar>
              <w:top w:type="dxa" w:w="60"/>
              <w:left w:type="dxa" w:w="100"/>
              <w:bottom w:type="dxa" w:w="60"/>
              <w:right w:type="dxa" w:w="100"/>
            </w:tcMar>
          </w:tcPr>
          <w:p>
            <w:pPr>
              <w:spacing w:after="0" w:line="252"/>
              <w:jc w:val="left"/>
            </w:pPr>
            <w:r>
              <w:rPr>
                <w:b w:val="false"/>
                <w:bCs w:val="false"/>
                <w:color w:val="444444"/>
                <w:sz w:val="19"/>
                <w:szCs w:val="19"/>
              </w:rPr>
              <w:t xml:space="preserve">Employee ID</w:t>
            </w:r>
          </w:p>
        </w:tc>
        <w:tc>
          <w:tcPr>
            <w:tcW w:type="dxa" w:w="6840"/>
            <w:tcMar>
              <w:top w:type="dxa" w:w="60"/>
              <w:left w:type="dxa" w:w="100"/>
              <w:bottom w:type="dxa" w:w="60"/>
              <w:right w:type="dxa" w:w="100"/>
            </w:tcMar>
          </w:tcPr>
          <w:p>
            <w:pPr>
              <w:spacing w:after="0" w:line="252"/>
              <w:jc w:val="center"/>
            </w:pPr>
            <w:r>
              <w:rPr>
                <w:b w:val="false"/>
                <w:bCs w:val="false"/>
                <w:color w:val="444444"/>
                <w:sz w:val="19"/>
                <w:szCs w:val="19"/>
              </w:rPr>
              <w:t xml:space="preserve">Odoo ID; permanent unique key</w:t>
            </w:r>
          </w:p>
        </w:tc>
      </w:tr>
      <w:tr>
        <w:tc>
          <w:tcPr>
            <w:tcW w:type="dxa" w:w="3000"/>
            <w:shd w:fill="F2F5F3" w:color="auto" w:val="clear"/>
            <w:tcMar>
              <w:top w:type="dxa" w:w="60"/>
              <w:left w:type="dxa" w:w="100"/>
              <w:bottom w:type="dxa" w:w="60"/>
              <w:right w:type="dxa" w:w="100"/>
            </w:tcMar>
          </w:tcPr>
          <w:p>
            <w:pPr>
              <w:spacing w:after="0" w:line="252"/>
              <w:jc w:val="left"/>
            </w:pPr>
            <w:r>
              <w:rPr>
                <w:b w:val="false"/>
                <w:bCs w:val="false"/>
                <w:color w:val="444444"/>
                <w:sz w:val="19"/>
                <w:szCs w:val="19"/>
              </w:rPr>
              <w:t xml:space="preserve">Name</w:t>
            </w:r>
          </w:p>
        </w:tc>
        <w:tc>
          <w:tcPr>
            <w:tcW w:type="dxa" w:w="684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w:t>
            </w:r>
          </w:p>
        </w:tc>
      </w:tr>
      <w:tr>
        <w:tc>
          <w:tcPr>
            <w:tcW w:type="dxa" w:w="3000"/>
            <w:tcMar>
              <w:top w:type="dxa" w:w="60"/>
              <w:left w:type="dxa" w:w="100"/>
              <w:bottom w:type="dxa" w:w="60"/>
              <w:right w:type="dxa" w:w="100"/>
            </w:tcMar>
          </w:tcPr>
          <w:p>
            <w:pPr>
              <w:spacing w:after="0" w:line="252"/>
              <w:jc w:val="left"/>
            </w:pPr>
            <w:r>
              <w:rPr>
                <w:b w:val="false"/>
                <w:bCs w:val="false"/>
                <w:color w:val="444444"/>
                <w:sz w:val="19"/>
                <w:szCs w:val="19"/>
              </w:rPr>
              <w:t xml:space="preserve">Email</w:t>
            </w:r>
          </w:p>
        </w:tc>
        <w:tc>
          <w:tcPr>
            <w:tcW w:type="dxa" w:w="6840"/>
            <w:tcMar>
              <w:top w:type="dxa" w:w="60"/>
              <w:left w:type="dxa" w:w="100"/>
              <w:bottom w:type="dxa" w:w="60"/>
              <w:right w:type="dxa" w:w="100"/>
            </w:tcMar>
          </w:tcPr>
          <w:p>
            <w:pPr>
              <w:spacing w:after="0" w:line="252"/>
              <w:jc w:val="center"/>
            </w:pPr>
            <w:r>
              <w:rPr>
                <w:b w:val="false"/>
                <w:bCs w:val="false"/>
                <w:color w:val="444444"/>
                <w:sz w:val="19"/>
                <w:szCs w:val="19"/>
              </w:rPr>
              <w:t xml:space="preserve">For login/notifications</w:t>
            </w:r>
          </w:p>
        </w:tc>
      </w:tr>
      <w:tr>
        <w:tc>
          <w:tcPr>
            <w:tcW w:type="dxa" w:w="3000"/>
            <w:shd w:fill="F2F5F3" w:color="auto" w:val="clear"/>
            <w:tcMar>
              <w:top w:type="dxa" w:w="60"/>
              <w:left w:type="dxa" w:w="100"/>
              <w:bottom w:type="dxa" w:w="60"/>
              <w:right w:type="dxa" w:w="100"/>
            </w:tcMar>
          </w:tcPr>
          <w:p>
            <w:pPr>
              <w:spacing w:after="0" w:line="252"/>
              <w:jc w:val="left"/>
            </w:pPr>
            <w:r>
              <w:rPr>
                <w:b w:val="false"/>
                <w:bCs w:val="false"/>
                <w:color w:val="444444"/>
                <w:sz w:val="19"/>
                <w:szCs w:val="19"/>
              </w:rPr>
              <w:t xml:space="preserve">Date of Joining</w:t>
            </w:r>
          </w:p>
        </w:tc>
        <w:tc>
          <w:tcPr>
            <w:tcW w:type="dxa" w:w="684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Anchor for 6-month eligibility gate, pro-ration Work Days, and effective service (§11)</w:t>
            </w:r>
          </w:p>
        </w:tc>
      </w:tr>
      <w:tr>
        <w:tc>
          <w:tcPr>
            <w:tcW w:type="dxa" w:w="3000"/>
            <w:tcMar>
              <w:top w:type="dxa" w:w="60"/>
              <w:left w:type="dxa" w:w="100"/>
              <w:bottom w:type="dxa" w:w="60"/>
              <w:right w:type="dxa" w:w="100"/>
            </w:tcMar>
          </w:tcPr>
          <w:p>
            <w:pPr>
              <w:spacing w:after="0" w:line="252"/>
              <w:jc w:val="left"/>
            </w:pPr>
            <w:r>
              <w:rPr>
                <w:b w:val="false"/>
                <w:bCs w:val="false"/>
                <w:color w:val="444444"/>
                <w:sz w:val="19"/>
                <w:szCs w:val="19"/>
              </w:rPr>
              <w:t xml:space="preserve">Department</w:t>
            </w:r>
          </w:p>
        </w:tc>
        <w:tc>
          <w:tcPr>
            <w:tcW w:type="dxa" w:w="6840"/>
            <w:tcMar>
              <w:top w:type="dxa" w:w="60"/>
              <w:left w:type="dxa" w:w="100"/>
              <w:bottom w:type="dxa" w:w="60"/>
              <w:right w:type="dxa" w:w="100"/>
            </w:tcMar>
          </w:tcPr>
          <w:p>
            <w:pPr>
              <w:spacing w:after="0" w:line="252"/>
              <w:jc w:val="center"/>
            </w:pPr>
            <w:r>
              <w:rPr>
                <w:b w:val="false"/>
                <w:bCs w:val="false"/>
                <w:color w:val="444444"/>
                <w:sz w:val="19"/>
                <w:szCs w:val="19"/>
              </w:rPr>
              <w:t xml:space="preserve">Implies entity; drives Departmental + Corporate KPI</w:t>
            </w:r>
          </w:p>
        </w:tc>
      </w:tr>
      <w:tr>
        <w:tc>
          <w:tcPr>
            <w:tcW w:type="dxa" w:w="3000"/>
            <w:shd w:fill="F2F5F3" w:color="auto" w:val="clear"/>
            <w:tcMar>
              <w:top w:type="dxa" w:w="60"/>
              <w:left w:type="dxa" w:w="100"/>
              <w:bottom w:type="dxa" w:w="60"/>
              <w:right w:type="dxa" w:w="100"/>
            </w:tcMar>
          </w:tcPr>
          <w:p>
            <w:pPr>
              <w:spacing w:after="0" w:line="252"/>
              <w:jc w:val="left"/>
            </w:pPr>
            <w:r>
              <w:rPr>
                <w:b w:val="false"/>
                <w:bCs w:val="false"/>
                <w:color w:val="444444"/>
                <w:sz w:val="19"/>
                <w:szCs w:val="19"/>
              </w:rPr>
              <w:t xml:space="preserve">Entity</w:t>
            </w:r>
          </w:p>
        </w:tc>
        <w:tc>
          <w:tcPr>
            <w:tcW w:type="dxa" w:w="684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Rihal / TP / CL (derivable from department; direct for C-Level)</w:t>
            </w:r>
          </w:p>
        </w:tc>
      </w:tr>
      <w:tr>
        <w:tc>
          <w:tcPr>
            <w:tcW w:type="dxa" w:w="3000"/>
            <w:tcMar>
              <w:top w:type="dxa" w:w="60"/>
              <w:left w:type="dxa" w:w="100"/>
              <w:bottom w:type="dxa" w:w="60"/>
              <w:right w:type="dxa" w:w="100"/>
            </w:tcMar>
          </w:tcPr>
          <w:p>
            <w:pPr>
              <w:spacing w:after="0" w:line="252"/>
              <w:jc w:val="left"/>
            </w:pPr>
            <w:r>
              <w:rPr>
                <w:b w:val="false"/>
                <w:bCs w:val="false"/>
                <w:color w:val="444444"/>
                <w:sz w:val="19"/>
                <w:szCs w:val="19"/>
              </w:rPr>
              <w:t xml:space="preserve">Manager (Employee ID)</w:t>
            </w:r>
          </w:p>
        </w:tc>
        <w:tc>
          <w:tcPr>
            <w:tcW w:type="dxa" w:w="6840"/>
            <w:tcMar>
              <w:top w:type="dxa" w:w="60"/>
              <w:left w:type="dxa" w:w="100"/>
              <w:bottom w:type="dxa" w:w="60"/>
              <w:right w:type="dxa" w:w="100"/>
            </w:tcMar>
          </w:tcPr>
          <w:p>
            <w:pPr>
              <w:spacing w:after="0" w:line="252"/>
              <w:jc w:val="center"/>
            </w:pPr>
            <w:r>
              <w:rPr>
                <w:b w:val="false"/>
                <w:bCs w:val="false"/>
                <w:color w:val="444444"/>
                <w:sz w:val="19"/>
                <w:szCs w:val="19"/>
              </w:rPr>
              <w:t xml:space="preserve">Direct reporting line; drives sign-off, escalation, visibility, 360</w:t>
            </w:r>
          </w:p>
        </w:tc>
      </w:tr>
      <w:tr>
        <w:tc>
          <w:tcPr>
            <w:tcW w:type="dxa" w:w="3000"/>
            <w:shd w:fill="F2F5F3" w:color="auto" w:val="clear"/>
            <w:tcMar>
              <w:top w:type="dxa" w:w="60"/>
              <w:left w:type="dxa" w:w="100"/>
              <w:bottom w:type="dxa" w:w="60"/>
              <w:right w:type="dxa" w:w="100"/>
            </w:tcMar>
          </w:tcPr>
          <w:p>
            <w:pPr>
              <w:spacing w:after="0" w:line="252"/>
              <w:jc w:val="left"/>
            </w:pPr>
            <w:r>
              <w:rPr>
                <w:b w:val="false"/>
                <w:bCs w:val="false"/>
                <w:color w:val="444444"/>
                <w:sz w:val="19"/>
                <w:szCs w:val="19"/>
              </w:rPr>
              <w:t xml:space="preserve">Role Track</w:t>
            </w:r>
          </w:p>
        </w:tc>
        <w:tc>
          <w:tcPr>
            <w:tcW w:type="dxa" w:w="684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One of the five tracks</w:t>
            </w:r>
          </w:p>
        </w:tc>
      </w:tr>
      <w:tr>
        <w:tc>
          <w:tcPr>
            <w:tcW w:type="dxa" w:w="3000"/>
            <w:tcMar>
              <w:top w:type="dxa" w:w="60"/>
              <w:left w:type="dxa" w:w="100"/>
              <w:bottom w:type="dxa" w:w="60"/>
              <w:right w:type="dxa" w:w="100"/>
            </w:tcMar>
          </w:tcPr>
          <w:p>
            <w:pPr>
              <w:spacing w:after="0" w:line="252"/>
              <w:jc w:val="left"/>
            </w:pPr>
            <w:r>
              <w:rPr>
                <w:b w:val="false"/>
                <w:bCs w:val="false"/>
                <w:color w:val="444444"/>
                <w:sz w:val="19"/>
                <w:szCs w:val="19"/>
              </w:rPr>
              <w:t xml:space="preserve">Basic Salary</w:t>
            </w:r>
          </w:p>
        </w:tc>
        <w:tc>
          <w:tcPr>
            <w:tcW w:type="dxa" w:w="6840"/>
            <w:tcMar>
              <w:top w:type="dxa" w:w="60"/>
              <w:left w:type="dxa" w:w="100"/>
              <w:bottom w:type="dxa" w:w="60"/>
              <w:right w:type="dxa" w:w="100"/>
            </w:tcMar>
          </w:tcPr>
          <w:p>
            <w:pPr>
              <w:spacing w:after="0" w:line="252"/>
              <w:jc w:val="center"/>
            </w:pPr>
            <w:r>
              <w:rPr>
                <w:b w:val="false"/>
                <w:bCs w:val="false"/>
                <w:color w:val="444444"/>
                <w:sz w:val="19"/>
                <w:szCs w:val="19"/>
              </w:rPr>
              <w:t xml:space="preserve">Drives bonus; confidential (see §11.6)</w:t>
            </w:r>
          </w:p>
        </w:tc>
      </w:tr>
      <w:tr>
        <w:tc>
          <w:tcPr>
            <w:tcW w:type="dxa" w:w="3000"/>
            <w:shd w:fill="F2F5F3" w:color="auto" w:val="clear"/>
            <w:tcMar>
              <w:top w:type="dxa" w:w="60"/>
              <w:left w:type="dxa" w:w="100"/>
              <w:bottom w:type="dxa" w:w="60"/>
              <w:right w:type="dxa" w:w="100"/>
            </w:tcMar>
          </w:tcPr>
          <w:p>
            <w:pPr>
              <w:spacing w:after="0" w:line="252"/>
              <w:jc w:val="left"/>
            </w:pPr>
            <w:r>
              <w:rPr>
                <w:b w:val="false"/>
                <w:bCs w:val="false"/>
                <w:color w:val="444444"/>
                <w:sz w:val="19"/>
                <w:szCs w:val="19"/>
              </w:rPr>
              <w:t xml:space="preserve">Status</w:t>
            </w:r>
          </w:p>
        </w:tc>
        <w:tc>
          <w:tcPr>
            <w:tcW w:type="dxa" w:w="684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Active / Leaver</w:t>
            </w:r>
          </w:p>
        </w:tc>
      </w:tr>
      <w:tr>
        <w:tc>
          <w:tcPr>
            <w:tcW w:type="dxa" w:w="3000"/>
            <w:tcMar>
              <w:top w:type="dxa" w:w="60"/>
              <w:left w:type="dxa" w:w="100"/>
              <w:bottom w:type="dxa" w:w="60"/>
              <w:right w:type="dxa" w:w="100"/>
            </w:tcMar>
          </w:tcPr>
          <w:p>
            <w:pPr>
              <w:spacing w:after="0" w:line="252"/>
              <w:jc w:val="left"/>
            </w:pPr>
            <w:r>
              <w:rPr>
                <w:b w:val="false"/>
                <w:bCs w:val="false"/>
                <w:color w:val="444444"/>
                <w:sz w:val="19"/>
                <w:szCs w:val="19"/>
              </w:rPr>
              <w:t xml:space="preserve">Last Working Day</w:t>
            </w:r>
          </w:p>
        </w:tc>
        <w:tc>
          <w:tcPr>
            <w:tcW w:type="dxa" w:w="6840"/>
            <w:tcMar>
              <w:top w:type="dxa" w:w="60"/>
              <w:left w:type="dxa" w:w="100"/>
              <w:bottom w:type="dxa" w:w="60"/>
              <w:right w:type="dxa" w:w="100"/>
            </w:tcMar>
          </w:tcPr>
          <w:p>
            <w:pPr>
              <w:spacing w:after="0" w:line="252"/>
              <w:jc w:val="center"/>
            </w:pPr>
            <w:r>
              <w:rPr>
                <w:b w:val="false"/>
                <w:bCs w:val="false"/>
                <w:color w:val="444444"/>
                <w:sz w:val="19"/>
                <w:szCs w:val="19"/>
              </w:rPr>
              <w:t xml:space="preserve">For leavers; used in day-count</w:t>
            </w:r>
          </w:p>
        </w:tc>
      </w:tr>
      <w:tr>
        <w:tc>
          <w:tcPr>
            <w:tcW w:type="dxa" w:w="3000"/>
            <w:shd w:fill="F2F5F3" w:color="auto" w:val="clear"/>
            <w:tcMar>
              <w:top w:type="dxa" w:w="60"/>
              <w:left w:type="dxa" w:w="100"/>
              <w:bottom w:type="dxa" w:w="60"/>
              <w:right w:type="dxa" w:w="100"/>
            </w:tcMar>
          </w:tcPr>
          <w:p>
            <w:pPr>
              <w:spacing w:after="0" w:line="252"/>
              <w:jc w:val="left"/>
            </w:pPr>
            <w:r>
              <w:rPr>
                <w:b w:val="false"/>
                <w:bCs w:val="false"/>
                <w:color w:val="444444"/>
                <w:sz w:val="19"/>
                <w:szCs w:val="19"/>
              </w:rPr>
              <w:t xml:space="preserve">Unpaid Leave Days</w:t>
            </w:r>
          </w:p>
        </w:tc>
        <w:tc>
          <w:tcPr>
            <w:tcW w:type="dxa" w:w="684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Affects bonus gate + pro-ration (see §10 / §11)</w:t>
            </w:r>
          </w:p>
        </w:tc>
      </w:tr>
    </w:tbl>
    <w:p>
      <w:pPr>
        <w:spacing w:after="80"/>
      </w:pPr>
      <w:r>
        <w:rPr>
          <w:sz w:val="2"/>
          <w:szCs w:val="2"/>
        </w:rPr>
        <w:t xml:space="preserve"/>
      </w:r>
    </w:p>
    <w:p>
      <w:pPr>
        <w:pStyle w:val="Heading3"/>
        <w:spacing w:after="70" w:before="160"/>
      </w:pPr>
      <w:r>
        <w:rPr>
          <w:b/>
          <w:bCs/>
          <w:color w:val="444444"/>
          <w:sz w:val="21"/>
          <w:szCs w:val="21"/>
        </w:rPr>
        <w:t xml:space="preserve">3.4 Import validation rules</w:t>
      </w:r>
    </w:p>
    <w:p>
      <w:pPr>
        <w:spacing w:after="90" w:line="276"/>
      </w:pPr>
      <w:r>
        <w:rPr>
          <w:color w:val="444444"/>
          <w:sz w:val="20"/>
          <w:szCs w:val="20"/>
        </w:rPr>
        <w:t xml:space="preserve">A row failing any rule is rejected/flagged, never silently accepted:</w:t>
      </w:r>
    </w:p>
    <w:p>
      <w:pPr>
        <w:pStyle w:val="ListParagraph"/>
        <w:numPr>
          <w:ilvl w:val="0"/>
          <w:numId w:val="2"/>
        </w:numPr>
        <w:spacing w:after="50" w:line="268"/>
      </w:pPr>
      <w:r>
        <w:rPr>
          <w:b/>
          <w:bCs/>
          <w:color w:val="444444"/>
          <w:sz w:val="20"/>
          <w:szCs w:val="20"/>
        </w:rPr>
        <w:t xml:space="preserve">Employee ID</w:t>
      </w:r>
      <w:r>
        <w:rPr>
          <w:color w:val="444444"/>
          <w:sz w:val="20"/>
          <w:szCs w:val="20"/>
        </w:rPr>
        <w:t xml:space="preserve"> — present and unique</w:t>
      </w:r>
    </w:p>
    <w:p>
      <w:pPr>
        <w:pStyle w:val="ListParagraph"/>
        <w:numPr>
          <w:ilvl w:val="0"/>
          <w:numId w:val="2"/>
        </w:numPr>
        <w:spacing w:after="50" w:line="268"/>
      </w:pPr>
      <w:r>
        <w:rPr>
          <w:b/>
          <w:bCs/>
          <w:color w:val="444444"/>
          <w:sz w:val="20"/>
          <w:szCs w:val="20"/>
        </w:rPr>
        <w:t xml:space="preserve">Date of Joining</w:t>
      </w:r>
      <w:r>
        <w:rPr>
          <w:color w:val="444444"/>
          <w:sz w:val="20"/>
          <w:szCs w:val="20"/>
        </w:rPr>
        <w:t xml:space="preserve"> — present and a valid date</w:t>
      </w:r>
    </w:p>
    <w:p>
      <w:pPr>
        <w:pStyle w:val="ListParagraph"/>
        <w:numPr>
          <w:ilvl w:val="0"/>
          <w:numId w:val="2"/>
        </w:numPr>
        <w:spacing w:after="50" w:line="268"/>
      </w:pPr>
      <w:r>
        <w:rPr>
          <w:b/>
          <w:bCs/>
          <w:color w:val="444444"/>
          <w:sz w:val="20"/>
          <w:szCs w:val="20"/>
        </w:rPr>
        <w:t xml:space="preserve">Role Track</w:t>
      </w:r>
      <w:r>
        <w:rPr>
          <w:color w:val="444444"/>
          <w:sz w:val="20"/>
          <w:szCs w:val="20"/>
        </w:rPr>
        <w:t xml:space="preserve"> — exactly one of the five valid values</w:t>
      </w:r>
    </w:p>
    <w:p>
      <w:pPr>
        <w:pStyle w:val="ListParagraph"/>
        <w:numPr>
          <w:ilvl w:val="0"/>
          <w:numId w:val="2"/>
        </w:numPr>
        <w:spacing w:after="50" w:line="268"/>
      </w:pPr>
      <w:r>
        <w:rPr>
          <w:b/>
          <w:bCs/>
          <w:color w:val="444444"/>
          <w:sz w:val="20"/>
          <w:szCs w:val="20"/>
        </w:rPr>
        <w:t xml:space="preserve">Department</w:t>
      </w:r>
      <w:r>
        <w:rPr>
          <w:color w:val="444444"/>
          <w:sz w:val="20"/>
          <w:szCs w:val="20"/>
        </w:rPr>
        <w:t xml:space="preserve"> — recognized/valid</w:t>
      </w:r>
    </w:p>
    <w:p>
      <w:pPr>
        <w:pStyle w:val="ListParagraph"/>
        <w:numPr>
          <w:ilvl w:val="0"/>
          <w:numId w:val="2"/>
        </w:numPr>
        <w:spacing w:after="50" w:line="268"/>
      </w:pPr>
      <w:r>
        <w:rPr>
          <w:b/>
          <w:bCs/>
          <w:color w:val="444444"/>
          <w:sz w:val="20"/>
          <w:szCs w:val="20"/>
        </w:rPr>
        <w:t xml:space="preserve">Manager</w:t>
      </w:r>
      <w:r>
        <w:rPr>
          <w:color w:val="444444"/>
          <w:sz w:val="20"/>
          <w:szCs w:val="20"/>
        </w:rPr>
        <w:t xml:space="preserve"> — valid Employee ID; required for all tracks except C-Level (blank allowed only for C-Level)</w:t>
      </w:r>
    </w:p>
    <w:p>
      <w:pPr>
        <w:pStyle w:val="ListParagraph"/>
        <w:numPr>
          <w:ilvl w:val="0"/>
          <w:numId w:val="2"/>
        </w:numPr>
        <w:spacing w:after="50" w:line="268"/>
      </w:pPr>
      <w:r>
        <w:rPr>
          <w:b/>
          <w:bCs/>
          <w:color w:val="444444"/>
          <w:sz w:val="20"/>
          <w:szCs w:val="20"/>
        </w:rPr>
        <w:t xml:space="preserve">Status</w:t>
      </w:r>
      <w:r>
        <w:rPr>
          <w:color w:val="444444"/>
          <w:sz w:val="20"/>
          <w:szCs w:val="20"/>
        </w:rPr>
        <w:t xml:space="preserve"> — Active or Leaver</w:t>
      </w:r>
    </w:p>
    <w:p>
      <w:pPr>
        <w:pStyle w:val="Heading3"/>
        <w:spacing w:after="70" w:before="160"/>
      </w:pPr>
      <w:r>
        <w:rPr>
          <w:b/>
          <w:bCs/>
          <w:color w:val="444444"/>
          <w:sz w:val="21"/>
          <w:szCs w:val="21"/>
        </w:rPr>
        <w:t xml:space="preserve">3.5 Re-import / refresh behavior (mid-cycle)</w:t>
      </w:r>
    </w:p>
    <w:p>
      <w:pPr>
        <w:spacing w:after="90" w:line="276"/>
      </w:pPr>
      <w:r>
        <w:rPr>
          <w:color w:val="444444"/>
          <w:sz w:val="20"/>
          <w:szCs w:val="20"/>
        </w:rPr>
        <w:t xml:space="preserve">The employee list is refreshable during the year (joiners, transfers, leavers):</w:t>
      </w:r>
    </w:p>
    <w:p>
      <w:pPr>
        <w:pStyle w:val="ListParagraph"/>
        <w:numPr>
          <w:ilvl w:val="0"/>
          <w:numId w:val="2"/>
        </w:numPr>
        <w:spacing w:after="50" w:line="268"/>
      </w:pPr>
      <w:r>
        <w:rPr>
          <w:b/>
          <w:bCs/>
          <w:color w:val="444444"/>
          <w:sz w:val="20"/>
          <w:szCs w:val="20"/>
        </w:rPr>
        <w:t xml:space="preserve">New rows</w:t>
      </w:r>
      <w:r>
        <w:rPr>
          <w:color w:val="444444"/>
          <w:sz w:val="20"/>
          <w:szCs w:val="20"/>
        </w:rPr>
        <w:t xml:space="preserve"> → create the employee, pull them into the cycle.</w:t>
      </w:r>
    </w:p>
    <w:p>
      <w:pPr>
        <w:pStyle w:val="ListParagraph"/>
        <w:numPr>
          <w:ilvl w:val="0"/>
          <w:numId w:val="2"/>
        </w:numPr>
        <w:spacing w:after="50" w:line="268"/>
      </w:pPr>
      <w:r>
        <w:rPr>
          <w:b/>
          <w:bCs/>
          <w:color w:val="444444"/>
          <w:sz w:val="20"/>
          <w:szCs w:val="20"/>
        </w:rPr>
        <w:t xml:space="preserve">Changed rows</w:t>
      </w:r>
      <w:r>
        <w:rPr>
          <w:color w:val="444444"/>
          <w:sz w:val="20"/>
          <w:szCs w:val="20"/>
        </w:rPr>
        <w:t xml:space="preserve"> → update the record (see manager-change handling §12.2).</w:t>
      </w:r>
    </w:p>
    <w:p>
      <w:pPr>
        <w:pStyle w:val="ListParagraph"/>
        <w:numPr>
          <w:ilvl w:val="0"/>
          <w:numId w:val="2"/>
        </w:numPr>
        <w:spacing w:after="50" w:line="268"/>
      </w:pPr>
      <w:r>
        <w:rPr>
          <w:b/>
          <w:bCs/>
          <w:color w:val="444444"/>
          <w:sz w:val="20"/>
          <w:szCs w:val="20"/>
        </w:rPr>
        <w:t xml:space="preserve">Missing rows</w:t>
      </w:r>
      <w:r>
        <w:rPr>
          <w:color w:val="444444"/>
          <w:sz w:val="20"/>
          <w:szCs w:val="20"/>
        </w:rPr>
        <w:t xml:space="preserve"> → change nothing. Absence from a file is never interpreted as a departure (protects against truncated/filtered exports wiping people).</w:t>
      </w:r>
    </w:p>
    <w:p>
      <w:pPr>
        <w:pBdr>
          <w:bottom w:val="single" w:color="CFE3D6" w:sz="6"/>
        </w:pBdr>
        <w:spacing w:after="120" w:before="60"/>
      </w:pPr>
      <w:r>
        <w:rPr>
          <w:sz w:val="2"/>
          <w:szCs w:val="2"/>
        </w:rPr>
        <w:t xml:space="preserve"/>
      </w:r>
    </w:p>
    <w:p>
      <w:pPr>
        <w:pStyle w:val="Heading1"/>
        <w:spacing w:after="140" w:before="320"/>
      </w:pPr>
      <w:r>
        <w:rPr>
          <w:b/>
          <w:bCs/>
          <w:color w:val="127A41"/>
          <w:sz w:val="30"/>
          <w:szCs w:val="30"/>
        </w:rPr>
        <w:t xml:space="preserve">4. Roles, Permissions &amp; Visibility</w:t>
      </w:r>
    </w:p>
    <w:p>
      <w:pPr>
        <w:pStyle w:val="Heading3"/>
        <w:spacing w:after="70" w:before="160"/>
      </w:pPr>
      <w:r>
        <w:rPr>
          <w:b/>
          <w:bCs/>
          <w:color w:val="444444"/>
          <w:sz w:val="21"/>
          <w:szCs w:val="21"/>
        </w:rPr>
        <w:t xml:space="preserve">4.1 Role definitions</w:t>
      </w:r>
    </w:p>
    <w:tbl>
      <w:tblPr>
        <w:tblW w:type="dxa" w:w="9840"/>
        <w:tblBorders>
          <w:top w:val="single" w:color="CFE3D6" w:sz="4"/>
          <w:left w:val="single" w:color="CFE3D6" w:sz="4"/>
          <w:bottom w:val="single" w:color="CFE3D6" w:sz="4"/>
          <w:right w:val="single" w:color="CFE3D6" w:sz="4"/>
          <w:insideH w:val="single" w:color="CFE3D6" w:sz="4"/>
          <w:insideV w:val="single" w:color="CFE3D6" w:sz="4"/>
        </w:tblBorders>
      </w:tblPr>
      <w:tblGrid>
        <w:gridCol w:w="1900"/>
        <w:gridCol w:w="3200"/>
        <w:gridCol w:w="3540"/>
        <w:gridCol w:w="1200"/>
      </w:tblGrid>
      <w:tr>
        <w:trPr>
          <w:tblHeader/>
        </w:trPr>
        <w:tc>
          <w:tcPr>
            <w:tcW w:type="dxa" w:w="1900"/>
            <w:shd w:fill="1F9D55" w:color="auto" w:val="clear"/>
            <w:tcMar>
              <w:top w:type="dxa" w:w="60"/>
              <w:left w:type="dxa" w:w="100"/>
              <w:bottom w:type="dxa" w:w="60"/>
              <w:right w:type="dxa" w:w="100"/>
            </w:tcMar>
          </w:tcPr>
          <w:p>
            <w:pPr>
              <w:spacing w:after="0" w:line="252"/>
              <w:jc w:val="left"/>
            </w:pPr>
            <w:r>
              <w:rPr>
                <w:b/>
                <w:bCs/>
                <w:color w:val="FFFFFF"/>
                <w:sz w:val="19"/>
                <w:szCs w:val="19"/>
              </w:rPr>
              <w:t xml:space="preserve">Role</w:t>
            </w:r>
          </w:p>
        </w:tc>
        <w:tc>
          <w:tcPr>
            <w:tcW w:type="dxa" w:w="3200"/>
            <w:shd w:fill="1F9D55" w:color="auto" w:val="clear"/>
            <w:tcMar>
              <w:top w:type="dxa" w:w="60"/>
              <w:left w:type="dxa" w:w="100"/>
              <w:bottom w:type="dxa" w:w="60"/>
              <w:right w:type="dxa" w:w="100"/>
            </w:tcMar>
          </w:tcPr>
          <w:p>
            <w:pPr>
              <w:spacing w:after="0" w:line="252"/>
              <w:jc w:val="center"/>
            </w:pPr>
            <w:r>
              <w:rPr>
                <w:b/>
                <w:bCs/>
                <w:color w:val="FFFFFF"/>
                <w:sz w:val="19"/>
                <w:szCs w:val="19"/>
              </w:rPr>
              <w:t xml:space="preserve">Acts on</w:t>
            </w:r>
          </w:p>
        </w:tc>
        <w:tc>
          <w:tcPr>
            <w:tcW w:type="dxa" w:w="3540"/>
            <w:shd w:fill="1F9D55" w:color="auto" w:val="clear"/>
            <w:tcMar>
              <w:top w:type="dxa" w:w="60"/>
              <w:left w:type="dxa" w:w="100"/>
              <w:bottom w:type="dxa" w:w="60"/>
              <w:right w:type="dxa" w:w="100"/>
            </w:tcMar>
          </w:tcPr>
          <w:p>
            <w:pPr>
              <w:spacing w:after="0" w:line="252"/>
              <w:jc w:val="center"/>
            </w:pPr>
            <w:r>
              <w:rPr>
                <w:b/>
                <w:bCs/>
                <w:color w:val="FFFFFF"/>
                <w:sz w:val="19"/>
                <w:szCs w:val="19"/>
              </w:rPr>
              <w:t xml:space="preserve">Sees</w:t>
            </w:r>
          </w:p>
        </w:tc>
        <w:tc>
          <w:tcPr>
            <w:tcW w:type="dxa" w:w="1200"/>
            <w:shd w:fill="1F9D55" w:color="auto" w:val="clear"/>
            <w:tcMar>
              <w:top w:type="dxa" w:w="60"/>
              <w:left w:type="dxa" w:w="100"/>
              <w:bottom w:type="dxa" w:w="60"/>
              <w:right w:type="dxa" w:w="100"/>
            </w:tcMar>
          </w:tcPr>
          <w:p>
            <w:pPr>
              <w:spacing w:after="0" w:line="252"/>
              <w:jc w:val="center"/>
            </w:pPr>
            <w:r>
              <w:rPr>
                <w:b/>
                <w:bCs/>
                <w:color w:val="FFFFFF"/>
                <w:sz w:val="19"/>
                <w:szCs w:val="19"/>
              </w:rPr>
              <w:t xml:space="preserve">Config?</w:t>
            </w:r>
          </w:p>
        </w:tc>
      </w:tr>
      <w:tr>
        <w:tc>
          <w:tcPr>
            <w:tcW w:type="dxa" w:w="1900"/>
            <w:tcMar>
              <w:top w:type="dxa" w:w="60"/>
              <w:left w:type="dxa" w:w="100"/>
              <w:bottom w:type="dxa" w:w="60"/>
              <w:right w:type="dxa" w:w="100"/>
            </w:tcMar>
          </w:tcPr>
          <w:p>
            <w:pPr>
              <w:spacing w:after="0" w:line="252"/>
              <w:jc w:val="left"/>
            </w:pPr>
            <w:r>
              <w:rPr>
                <w:b w:val="false"/>
                <w:bCs w:val="false"/>
                <w:color w:val="444444"/>
                <w:sz w:val="19"/>
                <w:szCs w:val="19"/>
              </w:rPr>
              <w:t xml:space="preserve">Employee</w:t>
            </w:r>
          </w:p>
        </w:tc>
        <w:tc>
          <w:tcPr>
            <w:tcW w:type="dxa" w:w="3200"/>
            <w:tcMar>
              <w:top w:type="dxa" w:w="60"/>
              <w:left w:type="dxa" w:w="100"/>
              <w:bottom w:type="dxa" w:w="60"/>
              <w:right w:type="dxa" w:w="100"/>
            </w:tcMar>
          </w:tcPr>
          <w:p>
            <w:pPr>
              <w:spacing w:after="0" w:line="252"/>
              <w:jc w:val="center"/>
            </w:pPr>
            <w:r>
              <w:rPr>
                <w:b w:val="false"/>
                <w:bCs w:val="false"/>
                <w:color w:val="444444"/>
                <w:sz w:val="19"/>
                <w:szCs w:val="19"/>
              </w:rPr>
              <w:t xml:space="preserve">Own self-assessment, sign-offs, assigned 360s</w:t>
            </w:r>
          </w:p>
        </w:tc>
        <w:tc>
          <w:tcPr>
            <w:tcW w:type="dxa" w:w="3540"/>
            <w:tcMar>
              <w:top w:type="dxa" w:w="60"/>
              <w:left w:type="dxa" w:w="100"/>
              <w:bottom w:type="dxa" w:w="60"/>
              <w:right w:type="dxa" w:w="100"/>
            </w:tcMar>
          </w:tcPr>
          <w:p>
            <w:pPr>
              <w:spacing w:after="0" w:line="252"/>
              <w:jc w:val="center"/>
            </w:pPr>
            <w:r>
              <w:rPr>
                <w:b w:val="false"/>
                <w:bCs w:val="false"/>
                <w:color w:val="444444"/>
                <w:sz w:val="19"/>
                <w:szCs w:val="19"/>
              </w:rPr>
              <w:t xml:space="preserve">Own data only</w:t>
            </w:r>
          </w:p>
        </w:tc>
        <w:tc>
          <w:tcPr>
            <w:tcW w:type="dxa" w:w="1200"/>
            <w:tcMar>
              <w:top w:type="dxa" w:w="60"/>
              <w:left w:type="dxa" w:w="100"/>
              <w:bottom w:type="dxa" w:w="60"/>
              <w:right w:type="dxa" w:w="100"/>
            </w:tcMar>
          </w:tcPr>
          <w:p>
            <w:pPr>
              <w:spacing w:after="0" w:line="252"/>
              <w:jc w:val="center"/>
            </w:pPr>
            <w:r>
              <w:rPr>
                <w:b w:val="false"/>
                <w:bCs w:val="false"/>
                <w:color w:val="444444"/>
                <w:sz w:val="19"/>
                <w:szCs w:val="19"/>
              </w:rPr>
              <w:t xml:space="preserve">No</w:t>
            </w:r>
          </w:p>
        </w:tc>
      </w:tr>
      <w:tr>
        <w:tc>
          <w:tcPr>
            <w:tcW w:type="dxa" w:w="1900"/>
            <w:shd w:fill="F2F5F3" w:color="auto" w:val="clear"/>
            <w:tcMar>
              <w:top w:type="dxa" w:w="60"/>
              <w:left w:type="dxa" w:w="100"/>
              <w:bottom w:type="dxa" w:w="60"/>
              <w:right w:type="dxa" w:w="100"/>
            </w:tcMar>
          </w:tcPr>
          <w:p>
            <w:pPr>
              <w:spacing w:after="0" w:line="252"/>
              <w:jc w:val="left"/>
            </w:pPr>
            <w:r>
              <w:rPr>
                <w:b w:val="false"/>
                <w:bCs w:val="false"/>
                <w:color w:val="444444"/>
                <w:sz w:val="19"/>
                <w:szCs w:val="19"/>
              </w:rPr>
              <w:t xml:space="preserve">Line Manager</w:t>
            </w:r>
          </w:p>
        </w:tc>
        <w:tc>
          <w:tcPr>
            <w:tcW w:type="dxa" w:w="320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Direct reports: draft/assess/sign-off KPIs; request mid-year changes</w:t>
            </w:r>
          </w:p>
        </w:tc>
        <w:tc>
          <w:tcPr>
            <w:tcW w:type="dxa" w:w="354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Full chain below (view-only past direct reports); receives escalations</w:t>
            </w:r>
          </w:p>
        </w:tc>
        <w:tc>
          <w:tcPr>
            <w:tcW w:type="dxa" w:w="120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No</w:t>
            </w:r>
          </w:p>
        </w:tc>
      </w:tr>
      <w:tr>
        <w:tc>
          <w:tcPr>
            <w:tcW w:type="dxa" w:w="1900"/>
            <w:tcMar>
              <w:top w:type="dxa" w:w="60"/>
              <w:left w:type="dxa" w:w="100"/>
              <w:bottom w:type="dxa" w:w="60"/>
              <w:right w:type="dxa" w:w="100"/>
            </w:tcMar>
          </w:tcPr>
          <w:p>
            <w:pPr>
              <w:spacing w:after="0" w:line="252"/>
              <w:jc w:val="left"/>
            </w:pPr>
            <w:r>
              <w:rPr>
                <w:b w:val="false"/>
                <w:bCs w:val="false"/>
                <w:color w:val="444444"/>
                <w:sz w:val="19"/>
                <w:szCs w:val="19"/>
              </w:rPr>
              <w:t xml:space="preserve">HR Super Admin</w:t>
            </w:r>
          </w:p>
        </w:tc>
        <w:tc>
          <w:tcPr>
            <w:tcW w:type="dxa" w:w="3200"/>
            <w:tcMar>
              <w:top w:type="dxa" w:w="60"/>
              <w:left w:type="dxa" w:w="100"/>
              <w:bottom w:type="dxa" w:w="60"/>
              <w:right w:type="dxa" w:w="100"/>
            </w:tcMar>
          </w:tcPr>
          <w:p>
            <w:pPr>
              <w:spacing w:after="0" w:line="252"/>
              <w:jc w:val="center"/>
            </w:pPr>
            <w:r>
              <w:rPr>
                <w:b w:val="false"/>
                <w:bCs w:val="false"/>
                <w:color w:val="444444"/>
                <w:sz w:val="19"/>
                <w:szCs w:val="19"/>
              </w:rPr>
              <w:t xml:space="preserve">Everything + overrides; runs calibration</w:t>
            </w:r>
          </w:p>
        </w:tc>
        <w:tc>
          <w:tcPr>
            <w:tcW w:type="dxa" w:w="3540"/>
            <w:tcMar>
              <w:top w:type="dxa" w:w="60"/>
              <w:left w:type="dxa" w:w="100"/>
              <w:bottom w:type="dxa" w:w="60"/>
              <w:right w:type="dxa" w:w="100"/>
            </w:tcMar>
          </w:tcPr>
          <w:p>
            <w:pPr>
              <w:spacing w:after="0" w:line="252"/>
              <w:jc w:val="center"/>
            </w:pPr>
            <w:r>
              <w:rPr>
                <w:b w:val="false"/>
                <w:bCs w:val="false"/>
                <w:color w:val="444444"/>
                <w:sz w:val="19"/>
                <w:szCs w:val="19"/>
              </w:rPr>
              <w:t xml:space="preserve">Everything, incl. full master export</w:t>
            </w:r>
          </w:p>
        </w:tc>
        <w:tc>
          <w:tcPr>
            <w:tcW w:type="dxa" w:w="1200"/>
            <w:tcMar>
              <w:top w:type="dxa" w:w="60"/>
              <w:left w:type="dxa" w:w="100"/>
              <w:bottom w:type="dxa" w:w="60"/>
              <w:right w:type="dxa" w:w="100"/>
            </w:tcMar>
          </w:tcPr>
          <w:p>
            <w:pPr>
              <w:spacing w:after="0" w:line="252"/>
              <w:jc w:val="center"/>
            </w:pPr>
            <w:r>
              <w:rPr>
                <w:b w:val="false"/>
                <w:bCs w:val="false"/>
                <w:color w:val="444444"/>
                <w:sz w:val="19"/>
                <w:szCs w:val="19"/>
              </w:rPr>
              <w:t xml:space="preserve">Yes — full</w:t>
            </w:r>
          </w:p>
        </w:tc>
      </w:tr>
      <w:tr>
        <w:tc>
          <w:tcPr>
            <w:tcW w:type="dxa" w:w="1900"/>
            <w:shd w:fill="F2F5F3" w:color="auto" w:val="clear"/>
            <w:tcMar>
              <w:top w:type="dxa" w:w="60"/>
              <w:left w:type="dxa" w:w="100"/>
              <w:bottom w:type="dxa" w:w="60"/>
              <w:right w:type="dxa" w:w="100"/>
            </w:tcMar>
          </w:tcPr>
          <w:p>
            <w:pPr>
              <w:spacing w:after="0" w:line="252"/>
              <w:jc w:val="left"/>
            </w:pPr>
            <w:r>
              <w:rPr>
                <w:b w:val="false"/>
                <w:bCs w:val="false"/>
                <w:color w:val="444444"/>
                <w:sz w:val="19"/>
                <w:szCs w:val="19"/>
              </w:rPr>
              <w:t xml:space="preserve">HRBP</w:t>
            </w:r>
          </w:p>
        </w:tc>
        <w:tc>
          <w:tcPr>
            <w:tcW w:type="dxa" w:w="320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Runs the cycle org-wide (approvals, 360 setup, deadlines, escalations)</w:t>
            </w:r>
          </w:p>
        </w:tc>
        <w:tc>
          <w:tcPr>
            <w:tcW w:type="dxa" w:w="354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Everything except Super-Admin master export</w:t>
            </w:r>
          </w:p>
        </w:tc>
        <w:tc>
          <w:tcPr>
            <w:tcW w:type="dxa" w:w="120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No</w:t>
            </w:r>
          </w:p>
        </w:tc>
      </w:tr>
      <w:tr>
        <w:tc>
          <w:tcPr>
            <w:tcW w:type="dxa" w:w="1900"/>
            <w:tcMar>
              <w:top w:type="dxa" w:w="60"/>
              <w:left w:type="dxa" w:w="100"/>
              <w:bottom w:type="dxa" w:w="60"/>
              <w:right w:type="dxa" w:w="100"/>
            </w:tcMar>
          </w:tcPr>
          <w:p>
            <w:pPr>
              <w:spacing w:after="0" w:line="252"/>
              <w:jc w:val="left"/>
            </w:pPr>
            <w:r>
              <w:rPr>
                <w:b w:val="false"/>
                <w:bCs w:val="false"/>
                <w:color w:val="444444"/>
                <w:sz w:val="19"/>
                <w:szCs w:val="19"/>
              </w:rPr>
              <w:t xml:space="preserve">COO / Ops Director</w:t>
            </w:r>
          </w:p>
        </w:tc>
        <w:tc>
          <w:tcPr>
            <w:tcW w:type="dxa" w:w="3200"/>
            <w:tcMar>
              <w:top w:type="dxa" w:w="60"/>
              <w:left w:type="dxa" w:w="100"/>
              <w:bottom w:type="dxa" w:w="60"/>
              <w:right w:type="dxa" w:w="100"/>
            </w:tcMar>
          </w:tcPr>
          <w:p>
            <w:pPr>
              <w:spacing w:after="0" w:line="252"/>
              <w:jc w:val="center"/>
            </w:pPr>
            <w:r>
              <w:rPr>
                <w:b w:val="false"/>
                <w:bCs w:val="false"/>
                <w:color w:val="444444"/>
                <w:sz w:val="19"/>
                <w:szCs w:val="19"/>
              </w:rPr>
              <w:t xml:space="preserve">Nothing (read-only)</w:t>
            </w:r>
          </w:p>
        </w:tc>
        <w:tc>
          <w:tcPr>
            <w:tcW w:type="dxa" w:w="3540"/>
            <w:tcMar>
              <w:top w:type="dxa" w:w="60"/>
              <w:left w:type="dxa" w:w="100"/>
              <w:bottom w:type="dxa" w:w="60"/>
              <w:right w:type="dxa" w:w="100"/>
            </w:tcMar>
          </w:tcPr>
          <w:p>
            <w:pPr>
              <w:spacing w:after="0" w:line="252"/>
              <w:jc w:val="center"/>
            </w:pPr>
            <w:r>
              <w:rPr>
                <w:b w:val="false"/>
                <w:bCs w:val="false"/>
                <w:color w:val="444444"/>
                <w:sz w:val="19"/>
                <w:szCs w:val="19"/>
              </w:rPr>
              <w:t xml:space="preserve">Org-wide, full drill-down incl. salary/bonus</w:t>
            </w:r>
          </w:p>
        </w:tc>
        <w:tc>
          <w:tcPr>
            <w:tcW w:type="dxa" w:w="1200"/>
            <w:tcMar>
              <w:top w:type="dxa" w:w="60"/>
              <w:left w:type="dxa" w:w="100"/>
              <w:bottom w:type="dxa" w:w="60"/>
              <w:right w:type="dxa" w:w="100"/>
            </w:tcMar>
          </w:tcPr>
          <w:p>
            <w:pPr>
              <w:spacing w:after="0" w:line="252"/>
              <w:jc w:val="center"/>
            </w:pPr>
            <w:r>
              <w:rPr>
                <w:b w:val="false"/>
                <w:bCs w:val="false"/>
                <w:color w:val="444444"/>
                <w:sz w:val="19"/>
                <w:szCs w:val="19"/>
              </w:rPr>
              <w:t xml:space="preserve">No</w:t>
            </w:r>
          </w:p>
        </w:tc>
      </w:tr>
      <w:tr>
        <w:tc>
          <w:tcPr>
            <w:tcW w:type="dxa" w:w="1900"/>
            <w:shd w:fill="F2F5F3" w:color="auto" w:val="clear"/>
            <w:tcMar>
              <w:top w:type="dxa" w:w="60"/>
              <w:left w:type="dxa" w:w="100"/>
              <w:bottom w:type="dxa" w:w="60"/>
              <w:right w:type="dxa" w:w="100"/>
            </w:tcMar>
          </w:tcPr>
          <w:p>
            <w:pPr>
              <w:spacing w:after="0" w:line="252"/>
              <w:jc w:val="left"/>
            </w:pPr>
            <w:r>
              <w:rPr>
                <w:b w:val="false"/>
                <w:bCs w:val="false"/>
                <w:color w:val="444444"/>
                <w:sz w:val="19"/>
                <w:szCs w:val="19"/>
              </w:rPr>
              <w:t xml:space="preserve">Strategy team</w:t>
            </w:r>
          </w:p>
        </w:tc>
        <w:tc>
          <w:tcPr>
            <w:tcW w:type="dxa" w:w="320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No system access — HR enters their scores</w:t>
            </w:r>
          </w:p>
        </w:tc>
        <w:tc>
          <w:tcPr>
            <w:tcW w:type="dxa" w:w="354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w:t>
            </w:r>
          </w:p>
        </w:tc>
        <w:tc>
          <w:tcPr>
            <w:tcW w:type="dxa" w:w="120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w:t>
            </w:r>
          </w:p>
        </w:tc>
      </w:tr>
    </w:tbl>
    <w:p>
      <w:pPr>
        <w:spacing w:after="80"/>
      </w:pPr>
      <w:r>
        <w:rPr>
          <w:sz w:val="2"/>
          <w:szCs w:val="2"/>
        </w:rPr>
        <w:t xml:space="preserve"/>
      </w:r>
    </w:p>
    <w:p>
      <w:pPr>
        <w:pStyle w:val="Heading3"/>
        <w:spacing w:after="70" w:before="160"/>
      </w:pPr>
      <w:r>
        <w:rPr>
          <w:b/>
          <w:bCs/>
          <w:color w:val="444444"/>
          <w:sz w:val="21"/>
          <w:szCs w:val="21"/>
        </w:rPr>
        <w:t xml:space="preserve">4.2 Core visibility principles</w:t>
      </w:r>
    </w:p>
    <w:p>
      <w:pPr>
        <w:pStyle w:val="ListParagraph"/>
        <w:numPr>
          <w:ilvl w:val="0"/>
          <w:numId w:val="2"/>
        </w:numPr>
        <w:spacing w:after="50" w:line="268"/>
      </w:pPr>
      <w:r>
        <w:rPr>
          <w:b/>
          <w:bCs/>
          <w:color w:val="444444"/>
          <w:sz w:val="20"/>
          <w:szCs w:val="20"/>
        </w:rPr>
        <w:t xml:space="preserve">Hierarchical visibility: </w:t>
      </w:r>
      <w:r>
        <w:rPr>
          <w:color w:val="444444"/>
          <w:sz w:val="20"/>
          <w:szCs w:val="20"/>
        </w:rPr>
        <w:t xml:space="preserve">a manager sees down their entire reporting chain, however deep.</w:t>
      </w:r>
    </w:p>
    <w:p>
      <w:pPr>
        <w:pStyle w:val="ListParagraph"/>
        <w:numPr>
          <w:ilvl w:val="0"/>
          <w:numId w:val="2"/>
        </w:numPr>
        <w:spacing w:after="50" w:line="268"/>
      </w:pPr>
      <w:r>
        <w:rPr>
          <w:b/>
          <w:bCs/>
          <w:color w:val="444444"/>
          <w:sz w:val="20"/>
          <w:szCs w:val="20"/>
        </w:rPr>
        <w:t xml:space="preserve">View-only below direct reports: </w:t>
      </w:r>
      <w:r>
        <w:rPr>
          <w:color w:val="444444"/>
          <w:sz w:val="20"/>
          <w:szCs w:val="20"/>
        </w:rPr>
        <w:t xml:space="preserve">a manager can act (draft/assess/sign-off) only on their direct reports. Everything deeper is view-only. Editing/sign-off is always reserved for the direct line manager — this preserves one owner per employee's assessment.</w:t>
      </w:r>
    </w:p>
    <w:p>
      <w:pPr>
        <w:pStyle w:val="ListParagraph"/>
        <w:numPr>
          <w:ilvl w:val="0"/>
          <w:numId w:val="2"/>
        </w:numPr>
        <w:spacing w:after="50" w:line="268"/>
      </w:pPr>
      <w:r>
        <w:rPr>
          <w:b/>
          <w:bCs/>
          <w:color w:val="444444"/>
          <w:sz w:val="20"/>
          <w:szCs w:val="20"/>
        </w:rPr>
        <w:t xml:space="preserve">Strategy team </w:t>
      </w:r>
      <w:r>
        <w:rPr>
          <w:color w:val="444444"/>
          <w:sz w:val="20"/>
          <w:szCs w:val="20"/>
        </w:rPr>
        <w:t xml:space="preserve">provides Corporate and Departmental scores offline; HR keys them in.</w:t>
      </w:r>
    </w:p>
    <w:p>
      <w:pPr>
        <w:pStyle w:val="Heading3"/>
        <w:spacing w:after="70" w:before="160"/>
      </w:pPr>
      <w:r>
        <w:rPr>
          <w:b/>
          <w:bCs/>
          <w:color w:val="444444"/>
          <w:sz w:val="21"/>
          <w:szCs w:val="21"/>
        </w:rPr>
        <w:t xml:space="preserve">4.3 Additive roles</w:t>
      </w:r>
    </w:p>
    <w:p>
      <w:pPr>
        <w:pStyle w:val="ListParagraph"/>
        <w:numPr>
          <w:ilvl w:val="0"/>
          <w:numId w:val="2"/>
        </w:numPr>
        <w:spacing w:after="50" w:line="268"/>
      </w:pPr>
      <w:r>
        <w:rPr>
          <w:b/>
          <w:bCs/>
          <w:color w:val="444444"/>
          <w:sz w:val="20"/>
          <w:szCs w:val="20"/>
        </w:rPr>
        <w:t xml:space="preserve">Roles are additive</w:t>
      </w:r>
      <w:r>
        <w:rPr>
          <w:color w:val="444444"/>
          <w:sz w:val="20"/>
          <w:szCs w:val="20"/>
        </w:rPr>
        <w:t xml:space="preserve"> — a user may hold more than one; permissions merge ("most access wins" on any given screen).</w:t>
      </w:r>
    </w:p>
    <w:p>
      <w:pPr>
        <w:pStyle w:val="ListParagraph"/>
        <w:numPr>
          <w:ilvl w:val="0"/>
          <w:numId w:val="2"/>
        </w:numPr>
        <w:spacing w:after="50" w:line="268"/>
      </w:pPr>
      <w:r>
        <w:rPr>
          <w:color w:val="444444"/>
          <w:sz w:val="20"/>
          <w:szCs w:val="20"/>
        </w:rPr>
        <w:t xml:space="preserve">Example: the COO holds Line Manager (scoped to their own reports) + Executive Viewer (org-wide read-only). An HR Super Admin who manages a team holds Super Admin + Line Manager for their own reports.</w:t>
      </w:r>
    </w:p>
    <w:p>
      <w:pPr>
        <w:pStyle w:val="ListParagraph"/>
        <w:numPr>
          <w:ilvl w:val="0"/>
          <w:numId w:val="2"/>
        </w:numPr>
        <w:spacing w:after="50" w:line="268"/>
      </w:pPr>
      <w:r>
        <w:rPr>
          <w:b/>
          <w:bCs/>
          <w:color w:val="444444"/>
          <w:sz w:val="20"/>
          <w:szCs w:val="20"/>
        </w:rPr>
        <w:t xml:space="preserve">Do not invent hybrid roles</w:t>
      </w:r>
      <w:r>
        <w:rPr>
          <w:color w:val="444444"/>
          <w:sz w:val="20"/>
          <w:szCs w:val="20"/>
        </w:rPr>
        <w:t xml:space="preserve"> — stack the standard ones.</w:t>
      </w:r>
    </w:p>
    <w:p>
      <w:pPr>
        <w:pStyle w:val="Heading3"/>
        <w:spacing w:after="70" w:before="160"/>
      </w:pPr>
      <w:r>
        <w:rPr>
          <w:b/>
          <w:bCs/>
          <w:color w:val="444444"/>
          <w:sz w:val="21"/>
          <w:szCs w:val="21"/>
        </w:rPr>
        <w:t xml:space="preserve">4.4 Interface organization — "My Tasks vs Oversight"</w:t>
      </w:r>
    </w:p>
    <w:p>
      <w:pPr>
        <w:spacing w:after="90" w:line="276"/>
      </w:pPr>
      <w:r>
        <w:rPr>
          <w:color w:val="444444"/>
          <w:sz w:val="20"/>
          <w:szCs w:val="20"/>
        </w:rPr>
        <w:t xml:space="preserve">Every user's interface separates:</w:t>
      </w:r>
    </w:p>
    <w:p>
      <w:pPr>
        <w:pStyle w:val="ListParagraph"/>
        <w:numPr>
          <w:ilvl w:val="0"/>
          <w:numId w:val="2"/>
        </w:numPr>
        <w:spacing w:after="50" w:line="268"/>
      </w:pPr>
      <w:r>
        <w:rPr>
          <w:b/>
          <w:bCs/>
          <w:color w:val="444444"/>
          <w:sz w:val="20"/>
          <w:szCs w:val="20"/>
        </w:rPr>
        <w:t xml:space="preserve">My Tasks (personal action space): </w:t>
      </w:r>
      <w:r>
        <w:rPr>
          <w:color w:val="444444"/>
          <w:sz w:val="20"/>
          <w:szCs w:val="20"/>
        </w:rPr>
        <w:t xml:space="preserve">everything assigned to me to do, regardless of which role generated it — my own self-assessment, KPIs I must draft/sign for direct reports, any 360 assigned to me (report, peer, or colleague), my submitted change requests. Driven by assignment, not hierarchy or role name.</w:t>
      </w:r>
    </w:p>
    <w:p>
      <w:pPr>
        <w:pStyle w:val="ListParagraph"/>
        <w:numPr>
          <w:ilvl w:val="0"/>
          <w:numId w:val="2"/>
        </w:numPr>
        <w:spacing w:after="50" w:line="268"/>
      </w:pPr>
      <w:r>
        <w:rPr>
          <w:b/>
          <w:bCs/>
          <w:color w:val="444444"/>
          <w:sz w:val="20"/>
          <w:szCs w:val="20"/>
        </w:rPr>
        <w:t xml:space="preserve">Oversight (view space): </w:t>
      </w:r>
      <w:r>
        <w:rPr>
          <w:color w:val="444444"/>
          <w:sz w:val="20"/>
          <w:szCs w:val="20"/>
        </w:rPr>
        <w:t xml:space="preserve">everything I'm entitled to see but not necessarily act on — manager chain view, HR org-wide view, executive dashboard. Scoped by my roles' viewing rights.</w:t>
      </w:r>
    </w:p>
    <w:p>
      <w:pPr>
        <w:pStyle w:val="Heading3"/>
        <w:spacing w:after="70" w:before="160"/>
      </w:pPr>
      <w:r>
        <w:rPr>
          <w:b/>
          <w:bCs/>
          <w:color w:val="444444"/>
          <w:sz w:val="21"/>
          <w:szCs w:val="21"/>
        </w:rPr>
        <w:t xml:space="preserve">4.5 Field-level confidentiality (salary &amp; bonus)</w:t>
      </w:r>
    </w:p>
    <w:p>
      <w:pPr>
        <w:pStyle w:val="ListParagraph"/>
        <w:numPr>
          <w:ilvl w:val="0"/>
          <w:numId w:val="2"/>
        </w:numPr>
        <w:spacing w:after="50" w:line="268"/>
      </w:pPr>
      <w:r>
        <w:rPr>
          <w:color w:val="444444"/>
          <w:sz w:val="20"/>
          <w:szCs w:val="20"/>
        </w:rPr>
        <w:t xml:space="preserve">Basic salary and computed bonus amounts are visible only to HR (Super Admin + HRBP), the COO, and the Ops Director.</w:t>
      </w:r>
    </w:p>
    <w:p>
      <w:pPr>
        <w:pStyle w:val="ListParagraph"/>
        <w:numPr>
          <w:ilvl w:val="0"/>
          <w:numId w:val="2"/>
        </w:numPr>
        <w:spacing w:after="50" w:line="268"/>
      </w:pPr>
      <w:r>
        <w:rPr>
          <w:color w:val="444444"/>
          <w:sz w:val="20"/>
          <w:szCs w:val="20"/>
        </w:rPr>
        <w:t xml:space="preserve">Line managers never see salary or bonus — even for their own direct reports and even in their chain view. This is a field-level restriction layered on top of role visibility.</w:t>
      </w:r>
    </w:p>
    <w:p>
      <w:pPr>
        <w:pBdr>
          <w:bottom w:val="single" w:color="CFE3D6" w:sz="6"/>
        </w:pBdr>
        <w:spacing w:after="120" w:before="60"/>
      </w:pPr>
      <w:r>
        <w:rPr>
          <w:sz w:val="2"/>
          <w:szCs w:val="2"/>
        </w:rPr>
        <w:t xml:space="preserve"/>
      </w:r>
    </w:p>
    <w:p>
      <w:pPr>
        <w:pStyle w:val="Heading1"/>
        <w:spacing w:after="140" w:before="320"/>
      </w:pPr>
      <w:r>
        <w:rPr>
          <w:b/>
          <w:bCs/>
          <w:color w:val="127A41"/>
          <w:sz w:val="30"/>
          <w:szCs w:val="30"/>
        </w:rPr>
        <w:t xml:space="preserve">5. Goal-Setting Workflow (December)</w:t>
      </w:r>
    </w:p>
    <w:p>
      <w:pPr>
        <w:pStyle w:val="Heading3"/>
        <w:spacing w:after="70" w:before="160"/>
      </w:pPr>
      <w:r>
        <w:rPr>
          <w:b/>
          <w:bCs/>
          <w:color w:val="444444"/>
          <w:sz w:val="21"/>
          <w:szCs w:val="21"/>
        </w:rPr>
        <w:t xml:space="preserve">5.1 Sequence</w:t>
      </w:r>
    </w:p>
    <w:p>
      <w:pPr>
        <w:pStyle w:val="ListParagraph"/>
        <w:numPr>
          <w:ilvl w:val="0"/>
          <w:numId w:val="3"/>
        </w:numPr>
        <w:spacing w:after="50" w:line="268"/>
      </w:pPr>
      <w:r>
        <w:rPr>
          <w:color w:val="444444"/>
          <w:sz w:val="20"/>
          <w:szCs w:val="20"/>
        </w:rPr>
        <w:t xml:space="preserve">HR opens the cycle and sets stage deadlines.</w:t>
      </w:r>
    </w:p>
    <w:p>
      <w:pPr>
        <w:pStyle w:val="ListParagraph"/>
        <w:numPr>
          <w:ilvl w:val="0"/>
          <w:numId w:val="3"/>
        </w:numPr>
        <w:spacing w:after="50" w:line="268"/>
      </w:pPr>
      <w:r>
        <w:rPr>
          <w:color w:val="444444"/>
          <w:sz w:val="20"/>
          <w:szCs w:val="20"/>
        </w:rPr>
        <w:t xml:space="preserve">Manager drafts the employee's individual KPIs (see §5.2).</w:t>
      </w:r>
    </w:p>
    <w:p>
      <w:pPr>
        <w:pStyle w:val="ListParagraph"/>
        <w:numPr>
          <w:ilvl w:val="0"/>
          <w:numId w:val="3"/>
        </w:numPr>
        <w:spacing w:after="50" w:line="268"/>
      </w:pPr>
      <w:r>
        <w:rPr>
          <w:color w:val="444444"/>
          <w:sz w:val="20"/>
          <w:szCs w:val="20"/>
        </w:rPr>
        <w:t xml:space="preserve">Employee reviews; employee and manager discuss offline.</w:t>
      </w:r>
    </w:p>
    <w:p>
      <w:pPr>
        <w:pStyle w:val="ListParagraph"/>
        <w:numPr>
          <w:ilvl w:val="0"/>
          <w:numId w:val="3"/>
        </w:numPr>
        <w:spacing w:after="50" w:line="268"/>
      </w:pPr>
      <w:r>
        <w:rPr>
          <w:color w:val="444444"/>
          <w:sz w:val="20"/>
          <w:szCs w:val="20"/>
        </w:rPr>
        <w:t xml:space="preserve">Once in agreement, both employee and manager sign off (acknowledgment of agreement).</w:t>
      </w:r>
    </w:p>
    <w:p>
      <w:pPr>
        <w:pStyle w:val="ListParagraph"/>
        <w:numPr>
          <w:ilvl w:val="0"/>
          <w:numId w:val="3"/>
        </w:numPr>
        <w:spacing w:after="50" w:line="268"/>
      </w:pPr>
      <w:r>
        <w:rPr>
          <w:color w:val="444444"/>
          <w:sz w:val="20"/>
          <w:szCs w:val="20"/>
        </w:rPr>
        <w:t xml:space="preserve">HR reviews and approves.</w:t>
      </w:r>
    </w:p>
    <w:p>
      <w:pPr>
        <w:pStyle w:val="ListParagraph"/>
        <w:numPr>
          <w:ilvl w:val="0"/>
          <w:numId w:val="3"/>
        </w:numPr>
        <w:spacing w:after="50" w:line="268"/>
      </w:pPr>
      <w:r>
        <w:rPr>
          <w:color w:val="444444"/>
          <w:sz w:val="20"/>
          <w:szCs w:val="20"/>
        </w:rPr>
        <w:t xml:space="preserve">HR approval LOCKS the KPIs as the agreed baseline.</w:t>
      </w:r>
    </w:p>
    <w:p>
      <w:pPr>
        <w:spacing w:after="40"/>
      </w:pPr>
      <w:r>
        <w:rPr>
          <w:sz w:val="2"/>
          <w:szCs w:val="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AF4EE" w:sz="2"/>
              <w:left w:val="single" w:color="1F9D55" w:sz="24"/>
              <w:bottom w:val="single" w:color="EAF4EE" w:sz="2"/>
              <w:right w:val="single" w:color="EAF4EE" w:sz="2"/>
            </w:tcBorders>
            <w:shd w:fill="EAF4EE" w:color="auto" w:val="clear"/>
            <w:tcMar>
              <w:top w:type="dxa" w:w="120"/>
              <w:left w:type="dxa" w:w="160"/>
              <w:bottom w:type="dxa" w:w="120"/>
              <w:right w:type="dxa" w:w="160"/>
            </w:tcMar>
          </w:tcPr>
          <w:p>
            <w:pPr>
              <w:spacing w:after="0" w:line="268"/>
            </w:pPr>
            <w:r>
              <w:rPr>
                <w:b/>
                <w:bCs/>
                <w:color w:val="127A41"/>
                <w:sz w:val="20"/>
                <w:szCs w:val="20"/>
              </w:rPr>
              <w:t xml:space="preserve">Important: </w:t>
            </w:r>
            <w:r>
              <w:rPr>
                <w:color w:val="127A41"/>
                <w:sz w:val="20"/>
                <w:szCs w:val="20"/>
              </w:rPr>
              <w:t xml:space="preserve">Employee + manager sign-off means agreement, but does not lock the KPIs. HR approval is the lock.</w:t>
            </w:r>
          </w:p>
        </w:tc>
      </w:tr>
    </w:tbl>
    <w:p>
      <w:pPr>
        <w:spacing w:after="80"/>
      </w:pPr>
      <w:r>
        <w:rPr>
          <w:sz w:val="2"/>
          <w:szCs w:val="2"/>
        </w:rPr>
        <w:t xml:space="preserve"/>
      </w:r>
    </w:p>
    <w:p>
      <w:pPr>
        <w:pStyle w:val="Heading3"/>
        <w:spacing w:after="70" w:before="160"/>
      </w:pPr>
      <w:r>
        <w:rPr>
          <w:b/>
          <w:bCs/>
          <w:color w:val="444444"/>
          <w:sz w:val="21"/>
          <w:szCs w:val="21"/>
        </w:rPr>
        <w:t xml:space="preserve">5.2 What a manager defines per KPI</w:t>
      </w:r>
    </w:p>
    <w:p>
      <w:pPr>
        <w:spacing w:after="90" w:line="276"/>
      </w:pPr>
      <w:r>
        <w:rPr>
          <w:color w:val="444444"/>
          <w:sz w:val="20"/>
          <w:szCs w:val="20"/>
        </w:rPr>
        <w:t xml:space="preserve">For each KPI, the manager authors (free text where noted):</w:t>
      </w:r>
    </w:p>
    <w:p>
      <w:pPr>
        <w:pStyle w:val="ListParagraph"/>
        <w:numPr>
          <w:ilvl w:val="0"/>
          <w:numId w:val="2"/>
        </w:numPr>
        <w:spacing w:after="50" w:line="268"/>
      </w:pPr>
      <w:r>
        <w:rPr>
          <w:b/>
          <w:bCs/>
          <w:color w:val="444444"/>
          <w:sz w:val="20"/>
          <w:szCs w:val="20"/>
        </w:rPr>
        <w:t xml:space="preserve">KPI description</w:t>
      </w:r>
    </w:p>
    <w:p>
      <w:pPr>
        <w:pStyle w:val="ListParagraph"/>
        <w:numPr>
          <w:ilvl w:val="0"/>
          <w:numId w:val="2"/>
        </w:numPr>
        <w:spacing w:after="50" w:line="268"/>
      </w:pPr>
      <w:r>
        <w:rPr>
          <w:b/>
          <w:bCs/>
          <w:color w:val="444444"/>
          <w:sz w:val="20"/>
          <w:szCs w:val="20"/>
        </w:rPr>
        <w:t xml:space="preserve">Weightage (%)</w:t>
      </w:r>
    </w:p>
    <w:p>
      <w:pPr>
        <w:pStyle w:val="ListParagraph"/>
        <w:numPr>
          <w:ilvl w:val="0"/>
          <w:numId w:val="2"/>
        </w:numPr>
        <w:spacing w:after="50" w:line="268"/>
      </w:pPr>
      <w:r>
        <w:rPr>
          <w:b/>
          <w:bCs/>
          <w:color w:val="444444"/>
          <w:sz w:val="20"/>
          <w:szCs w:val="20"/>
        </w:rPr>
        <w:t xml:space="preserve">Five level descriptors</w:t>
      </w:r>
      <w:r>
        <w:rPr>
          <w:color w:val="444444"/>
          <w:sz w:val="20"/>
          <w:szCs w:val="20"/>
        </w:rPr>
        <w:t xml:space="preserve"> — what each level looks like for this specific KPI: Outstanding = 5, Excellent = 4, Target = 3, Almost Achieved = 2, Unsatisfactory = 1.</w:t>
      </w:r>
    </w:p>
    <w:p>
      <w:pPr>
        <w:pStyle w:val="Heading3"/>
        <w:spacing w:after="70" w:before="160"/>
      </w:pPr>
      <w:r>
        <w:rPr>
          <w:b/>
          <w:bCs/>
          <w:color w:val="444444"/>
          <w:sz w:val="21"/>
          <w:szCs w:val="21"/>
        </w:rPr>
        <w:t xml:space="preserve">5.3 Sign-off rules</w:t>
      </w:r>
    </w:p>
    <w:p>
      <w:pPr>
        <w:pStyle w:val="ListParagraph"/>
        <w:numPr>
          <w:ilvl w:val="0"/>
          <w:numId w:val="2"/>
        </w:numPr>
        <w:spacing w:after="50" w:line="268"/>
      </w:pPr>
      <w:r>
        <w:rPr>
          <w:b/>
          <w:bCs/>
          <w:color w:val="444444"/>
          <w:sz w:val="20"/>
          <w:szCs w:val="20"/>
        </w:rPr>
        <w:t xml:space="preserve">Employee disagreement is handled offline. </w:t>
      </w:r>
      <w:r>
        <w:rPr>
          <w:color w:val="444444"/>
          <w:sz w:val="20"/>
          <w:szCs w:val="20"/>
        </w:rPr>
        <w:t xml:space="preserve">If the employee does not agree, they simply do not sign. There is no "reject" button — the unsigned state is the signal that agreement hasn't been reached. Discussion continues offline until they sign.</w:t>
      </w:r>
    </w:p>
    <w:p>
      <w:pPr>
        <w:pStyle w:val="ListParagraph"/>
        <w:numPr>
          <w:ilvl w:val="0"/>
          <w:numId w:val="2"/>
        </w:numPr>
        <w:spacing w:after="50" w:line="268"/>
      </w:pPr>
      <w:r>
        <w:rPr>
          <w:b/>
          <w:bCs/>
          <w:color w:val="444444"/>
          <w:sz w:val="20"/>
          <w:szCs w:val="20"/>
        </w:rPr>
        <w:t xml:space="preserve">Validation: </w:t>
      </w:r>
      <w:r>
        <w:rPr>
          <w:color w:val="444444"/>
          <w:sz w:val="20"/>
          <w:szCs w:val="20"/>
        </w:rPr>
        <w:t xml:space="preserve">KPIs cannot be signed off or locked unless individual KPI weightages total exactly 100%.</w:t>
      </w:r>
    </w:p>
    <w:p>
      <w:pPr>
        <w:pStyle w:val="Heading3"/>
        <w:spacing w:after="70" w:before="160"/>
      </w:pPr>
      <w:r>
        <w:rPr>
          <w:b/>
          <w:bCs/>
          <w:color w:val="444444"/>
          <w:sz w:val="21"/>
          <w:szCs w:val="21"/>
        </w:rPr>
        <w:t xml:space="preserve">5.4 Deadlines &amp; lockout</w:t>
      </w:r>
    </w:p>
    <w:p>
      <w:pPr>
        <w:pStyle w:val="ListParagraph"/>
        <w:numPr>
          <w:ilvl w:val="0"/>
          <w:numId w:val="2"/>
        </w:numPr>
        <w:spacing w:after="50" w:line="268"/>
      </w:pPr>
      <w:r>
        <w:rPr>
          <w:color w:val="444444"/>
          <w:sz w:val="20"/>
          <w:szCs w:val="20"/>
        </w:rPr>
        <w:t xml:space="preserve">All stage deadlines are hard locks. After a deadline passes, the relevant party can no longer act on that stage.</w:t>
      </w:r>
    </w:p>
    <w:p>
      <w:pPr>
        <w:pStyle w:val="ListParagraph"/>
        <w:numPr>
          <w:ilvl w:val="0"/>
          <w:numId w:val="2"/>
        </w:numPr>
        <w:spacing w:after="50" w:line="268"/>
      </w:pPr>
      <w:r>
        <w:rPr>
          <w:b/>
          <w:bCs/>
          <w:color w:val="444444"/>
          <w:sz w:val="20"/>
          <w:szCs w:val="20"/>
        </w:rPr>
        <w:t xml:space="preserve">If the employee doesn't sign by the deadline: </w:t>
      </w:r>
      <w:r>
        <w:rPr>
          <w:color w:val="444444"/>
          <w:sz w:val="20"/>
          <w:szCs w:val="20"/>
        </w:rPr>
        <w:t xml:space="preserve">the system locks, status shows "Employee did not sign," and the KPIs move to HR review. Responsibility sits with the employee to push the discussion and sign in time.</w:t>
      </w:r>
    </w:p>
    <w:p>
      <w:pPr>
        <w:pStyle w:val="Heading3"/>
        <w:spacing w:after="70" w:before="160"/>
      </w:pPr>
      <w:r>
        <w:rPr>
          <w:b/>
          <w:bCs/>
          <w:color w:val="444444"/>
          <w:sz w:val="21"/>
          <w:szCs w:val="21"/>
        </w:rPr>
        <w:t xml:space="preserve">5.5 Manager non-compliance &amp; escalation</w:t>
      </w:r>
    </w:p>
    <w:p>
      <w:pPr>
        <w:spacing w:after="90" w:line="276"/>
      </w:pPr>
      <w:r>
        <w:rPr>
          <w:color w:val="444444"/>
          <w:sz w:val="20"/>
          <w:szCs w:val="20"/>
        </w:rPr>
        <w:t xml:space="preserve">The manager's drafting step is a blocker (the employee can't act until KPIs exist), so it is treated with earlier, louder handling than a silent lock.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AF4EE" w:sz="2"/>
              <w:left w:val="single" w:color="1F9D55" w:sz="24"/>
              <w:bottom w:val="single" w:color="EAF4EE" w:sz="2"/>
              <w:right w:val="single" w:color="EAF4EE" w:sz="2"/>
            </w:tcBorders>
            <w:shd w:fill="EAF4EE" w:color="auto" w:val="clear"/>
            <w:tcMar>
              <w:top w:type="dxa" w:w="120"/>
              <w:left w:type="dxa" w:w="160"/>
              <w:bottom w:type="dxa" w:w="120"/>
              <w:right w:type="dxa" w:w="160"/>
            </w:tcMar>
          </w:tcPr>
          <w:p>
            <w:pPr>
              <w:spacing w:after="0" w:line="268"/>
            </w:pPr>
            <w:r>
              <w:rPr>
                <w:b/>
                <w:bCs/>
                <w:color w:val="127A41"/>
                <w:sz w:val="20"/>
                <w:szCs w:val="20"/>
              </w:rPr>
              <w:t xml:space="preserve">Principle: </w:t>
            </w:r>
            <w:r>
              <w:rPr>
                <w:color w:val="127A41"/>
                <w:sz w:val="20"/>
                <w:szCs w:val="20"/>
              </w:rPr>
              <w:t xml:space="preserve">Responsibility for a missed deadline falls on whoever controlled that action, and an employee is never disadvantaged by a manager's failure to act.</w:t>
            </w:r>
          </w:p>
        </w:tc>
      </w:tr>
    </w:tbl>
    <w:p>
      <w:pPr>
        <w:spacing w:after="60"/>
      </w:pPr>
      <w:r>
        <w:rPr>
          <w:sz w:val="2"/>
          <w:szCs w:val="2"/>
        </w:rPr>
        <w:t xml:space="preserve"/>
      </w:r>
    </w:p>
    <w:p>
      <w:pPr>
        <w:spacing w:after="90" w:line="276"/>
      </w:pPr>
      <w:r>
        <w:rPr>
          <w:b/>
          <w:bCs/>
          <w:color w:val="444444"/>
          <w:sz w:val="20"/>
          <w:szCs w:val="20"/>
        </w:rPr>
        <w:t xml:space="preserve">Escalation ladder:</w:t>
      </w:r>
    </w:p>
    <w:p>
      <w:pPr>
        <w:pStyle w:val="ListParagraph"/>
        <w:numPr>
          <w:ilvl w:val="0"/>
          <w:numId w:val="3"/>
        </w:numPr>
        <w:spacing w:after="50" w:line="268"/>
      </w:pPr>
      <w:r>
        <w:rPr>
          <w:b/>
          <w:bCs/>
          <w:color w:val="444444"/>
          <w:sz w:val="20"/>
          <w:szCs w:val="20"/>
        </w:rPr>
        <w:t xml:space="preserve">Approaching deadline: </w:t>
      </w:r>
      <w:r>
        <w:rPr>
          <w:color w:val="444444"/>
          <w:sz w:val="20"/>
          <w:szCs w:val="20"/>
        </w:rPr>
        <w:t xml:space="preserve">escalating reminders to the manager directly.</w:t>
      </w:r>
    </w:p>
    <w:p>
      <w:pPr>
        <w:pStyle w:val="ListParagraph"/>
        <w:numPr>
          <w:ilvl w:val="0"/>
          <w:numId w:val="3"/>
        </w:numPr>
        <w:spacing w:after="50" w:line="268"/>
      </w:pPr>
      <w:r>
        <w:rPr>
          <w:b/>
          <w:bCs/>
          <w:color w:val="444444"/>
          <w:sz w:val="20"/>
          <w:szCs w:val="20"/>
        </w:rPr>
        <w:t xml:space="preserve">Deadline missed: </w:t>
      </w:r>
      <w:r>
        <w:rPr>
          <w:color w:val="444444"/>
          <w:sz w:val="20"/>
          <w:szCs w:val="20"/>
        </w:rPr>
        <w:t xml:space="preserve">escalate to the manager's manager (who has authority to compel action) and notify HR in parallel (HR owns the cycle and must have visibility). The compliance record begins logging.</w:t>
      </w:r>
    </w:p>
    <w:p>
      <w:pPr>
        <w:pStyle w:val="ListParagraph"/>
        <w:numPr>
          <w:ilvl w:val="0"/>
          <w:numId w:val="3"/>
        </w:numPr>
        <w:spacing w:after="50" w:line="268"/>
      </w:pPr>
      <w:r>
        <w:rPr>
          <w:b/>
          <w:bCs/>
          <w:color w:val="444444"/>
          <w:sz w:val="20"/>
          <w:szCs w:val="20"/>
        </w:rPr>
        <w:t xml:space="preserve">Still unresolved after a grace window: </w:t>
      </w:r>
      <w:r>
        <w:rPr>
          <w:color w:val="444444"/>
          <w:sz w:val="20"/>
          <w:szCs w:val="20"/>
        </w:rPr>
        <w:t xml:space="preserve">HR intervenes formally — extend the deadline, intervene directly, or mark a formal non-compliance event.</w:t>
      </w:r>
    </w:p>
    <w:p>
      <w:pPr>
        <w:pStyle w:val="ListParagraph"/>
        <w:numPr>
          <w:ilvl w:val="0"/>
          <w:numId w:val="2"/>
        </w:numPr>
        <w:spacing w:after="50" w:line="268"/>
      </w:pPr>
      <w:r>
        <w:rPr>
          <w:color w:val="444444"/>
          <w:sz w:val="20"/>
          <w:szCs w:val="20"/>
        </w:rPr>
        <w:t xml:space="preserve">The same logic applies to the manager's sign-off step: if the employee has signed but the manager hasn't by the deadline, flag to HR and skip-level, with status clearly showing "employee signed, manager did not."</w:t>
      </w:r>
    </w:p>
    <w:p>
      <w:pPr>
        <w:pStyle w:val="Heading3"/>
        <w:spacing w:after="70" w:before="160"/>
      </w:pPr>
      <w:r>
        <w:rPr>
          <w:b/>
          <w:bCs/>
          <w:color w:val="444444"/>
          <w:sz w:val="21"/>
          <w:szCs w:val="21"/>
        </w:rPr>
        <w:t xml:space="preserve">5.6 Manager compliance record</w:t>
      </w:r>
    </w:p>
    <w:p>
      <w:pPr>
        <w:pStyle w:val="ListParagraph"/>
        <w:numPr>
          <w:ilvl w:val="0"/>
          <w:numId w:val="2"/>
        </w:numPr>
        <w:spacing w:after="50" w:line="268"/>
      </w:pPr>
      <w:r>
        <w:rPr>
          <w:color w:val="444444"/>
          <w:sz w:val="20"/>
          <w:szCs w:val="20"/>
        </w:rPr>
        <w:t xml:space="preserve">Every deadline miss and escalation event is logged automatically: manager name, what was missed, by how long, whether it required skip-level or HR intervention.</w:t>
      </w:r>
    </w:p>
    <w:p>
      <w:pPr>
        <w:pStyle w:val="ListParagraph"/>
        <w:numPr>
          <w:ilvl w:val="0"/>
          <w:numId w:val="2"/>
        </w:numPr>
        <w:spacing w:after="50" w:line="268"/>
      </w:pPr>
      <w:r>
        <w:rPr>
          <w:color w:val="444444"/>
          <w:sz w:val="20"/>
          <w:szCs w:val="20"/>
        </w:rPr>
        <w:t xml:space="preserve">Feeds an objective manager-accountability report for top management (see §13.5).</w:t>
      </w:r>
    </w:p>
    <w:p>
      <w:pPr>
        <w:pBdr>
          <w:bottom w:val="single" w:color="CFE3D6" w:sz="6"/>
        </w:pBdr>
        <w:spacing w:after="120" w:before="60"/>
      </w:pPr>
      <w:r>
        <w:rPr>
          <w:sz w:val="2"/>
          <w:szCs w:val="2"/>
        </w:rPr>
        <w:t xml:space="preserve"/>
      </w:r>
    </w:p>
    <w:p>
      <w:pPr>
        <w:pStyle w:val="Heading1"/>
        <w:spacing w:after="140" w:before="320"/>
      </w:pPr>
      <w:r>
        <w:rPr>
          <w:b/>
          <w:bCs/>
          <w:color w:val="127A41"/>
          <w:sz w:val="30"/>
          <w:szCs w:val="30"/>
        </w:rPr>
        <w:t xml:space="preserve">6. Mid-Year Review (June / July)</w:t>
      </w:r>
    </w:p>
    <w:p>
      <w:pPr>
        <w:pStyle w:val="Heading3"/>
        <w:spacing w:after="70" w:before="160"/>
      </w:pPr>
      <w:r>
        <w:rPr>
          <w:b/>
          <w:bCs/>
          <w:color w:val="444444"/>
          <w:sz w:val="21"/>
          <w:szCs w:val="21"/>
        </w:rPr>
        <w:t xml:space="preserve">6.1 Nature</w:t>
      </w:r>
    </w:p>
    <w:p>
      <w:pPr>
        <w:pStyle w:val="ListParagraph"/>
        <w:numPr>
          <w:ilvl w:val="0"/>
          <w:numId w:val="2"/>
        </w:numPr>
        <w:spacing w:after="50" w:line="268"/>
      </w:pPr>
      <w:r>
        <w:rPr>
          <w:color w:val="444444"/>
          <w:sz w:val="20"/>
          <w:szCs w:val="20"/>
        </w:rPr>
        <w:t xml:space="preserve">A progress check and chance to adjust — no scoring, no ratings issued.</w:t>
      </w:r>
    </w:p>
    <w:p>
      <w:pPr>
        <w:pStyle w:val="Heading3"/>
        <w:spacing w:after="70" w:before="160"/>
      </w:pPr>
      <w:r>
        <w:rPr>
          <w:b/>
          <w:bCs/>
          <w:color w:val="444444"/>
          <w:sz w:val="21"/>
          <w:szCs w:val="21"/>
        </w:rPr>
        <w:t xml:space="preserve">6.2 KPI change requests</w:t>
      </w:r>
    </w:p>
    <w:p>
      <w:pPr>
        <w:pStyle w:val="ListParagraph"/>
        <w:numPr>
          <w:ilvl w:val="0"/>
          <w:numId w:val="2"/>
        </w:numPr>
        <w:spacing w:after="50" w:line="268"/>
      </w:pPr>
      <w:r>
        <w:rPr>
          <w:color w:val="444444"/>
          <w:sz w:val="20"/>
          <w:szCs w:val="20"/>
        </w:rPr>
        <w:t xml:space="preserve">If a KPI needs adjusting, the manager submits a change request through the system.</w:t>
      </w:r>
    </w:p>
    <w:p>
      <w:pPr>
        <w:pStyle w:val="ListParagraph"/>
        <w:numPr>
          <w:ilvl w:val="0"/>
          <w:numId w:val="2"/>
        </w:numPr>
        <w:spacing w:after="50" w:line="268"/>
      </w:pPr>
      <w:r>
        <w:rPr>
          <w:color w:val="444444"/>
          <w:sz w:val="20"/>
          <w:szCs w:val="20"/>
        </w:rPr>
        <w:t xml:space="preserve">A change may be a full KPI overhaul (description + weight + all five descriptors) or a partial change (e.g. descriptors/metrics only).</w:t>
      </w:r>
    </w:p>
    <w:p>
      <w:pPr>
        <w:pStyle w:val="ListParagraph"/>
        <w:numPr>
          <w:ilvl w:val="0"/>
          <w:numId w:val="2"/>
        </w:numPr>
        <w:spacing w:after="50" w:line="268"/>
      </w:pPr>
      <w:r>
        <w:rPr>
          <w:b/>
          <w:bCs/>
          <w:color w:val="444444"/>
          <w:sz w:val="20"/>
          <w:szCs w:val="20"/>
        </w:rPr>
        <w:t xml:space="preserve">HR reviews</w:t>
      </w:r>
      <w:r>
        <w:rPr>
          <w:color w:val="444444"/>
          <w:sz w:val="20"/>
          <w:szCs w:val="20"/>
        </w:rPr>
        <w:t xml:space="preserve"> and approves or rejects.</w:t>
      </w:r>
    </w:p>
    <w:p>
      <w:pPr>
        <w:pStyle w:val="ListParagraph"/>
        <w:numPr>
          <w:ilvl w:val="1"/>
          <w:numId w:val="2"/>
        </w:numPr>
        <w:spacing w:after="50" w:line="268"/>
      </w:pPr>
      <w:r>
        <w:rPr>
          <w:b/>
          <w:bCs/>
          <w:color w:val="444444"/>
          <w:sz w:val="20"/>
          <w:szCs w:val="20"/>
        </w:rPr>
        <w:t xml:space="preserve">On approval: </w:t>
      </w:r>
      <w:r>
        <w:rPr>
          <w:color w:val="444444"/>
          <w:sz w:val="20"/>
          <w:szCs w:val="20"/>
        </w:rPr>
        <w:t xml:space="preserve">the new version takes effect.</w:t>
      </w:r>
    </w:p>
    <w:p>
      <w:pPr>
        <w:pStyle w:val="ListParagraph"/>
        <w:numPr>
          <w:ilvl w:val="1"/>
          <w:numId w:val="2"/>
        </w:numPr>
        <w:spacing w:after="50" w:line="268"/>
      </w:pPr>
      <w:r>
        <w:rPr>
          <w:b/>
          <w:bCs/>
          <w:color w:val="444444"/>
          <w:sz w:val="20"/>
          <w:szCs w:val="20"/>
        </w:rPr>
        <w:t xml:space="preserve">On rejection: </w:t>
      </w:r>
      <w:r>
        <w:rPr>
          <w:color w:val="444444"/>
          <w:sz w:val="20"/>
          <w:szCs w:val="20"/>
        </w:rPr>
        <w:t xml:space="preserve">the KPI stays unchanged, and HR must enter a reason (mandatory field) that the manager can see.</w:t>
      </w:r>
    </w:p>
    <w:p>
      <w:pPr>
        <w:pStyle w:val="Heading3"/>
        <w:spacing w:after="70" w:before="160"/>
      </w:pPr>
      <w:r>
        <w:rPr>
          <w:b/>
          <w:bCs/>
          <w:color w:val="444444"/>
          <w:sz w:val="21"/>
          <w:szCs w:val="21"/>
        </w:rPr>
        <w:t xml:space="preserve">6.3 Version history (audit)</w:t>
      </w:r>
    </w:p>
    <w:p>
      <w:pPr>
        <w:pStyle w:val="ListParagraph"/>
        <w:numPr>
          <w:ilvl w:val="0"/>
          <w:numId w:val="2"/>
        </w:numPr>
        <w:spacing w:after="50" w:line="268"/>
      </w:pPr>
      <w:r>
        <w:rPr>
          <w:color w:val="444444"/>
          <w:sz w:val="20"/>
          <w:szCs w:val="20"/>
        </w:rPr>
        <w:t xml:space="preserve">The system maintains a full version history of every KPI change: original version, what changed (across all fields — description, weight, and any of the five descriptors), who requested it, who approved it, and when. Old versions are archived, never overwritten.</w:t>
      </w:r>
    </w:p>
    <w:p>
      <w:pPr>
        <w:pBdr>
          <w:bottom w:val="single" w:color="CFE3D6" w:sz="6"/>
        </w:pBdr>
        <w:spacing w:after="120" w:before="60"/>
      </w:pPr>
      <w:r>
        <w:rPr>
          <w:sz w:val="2"/>
          <w:szCs w:val="2"/>
        </w:rPr>
        <w:t xml:space="preserve"/>
      </w:r>
    </w:p>
    <w:p>
      <w:pPr>
        <w:pStyle w:val="Heading1"/>
        <w:spacing w:after="140" w:before="320"/>
      </w:pPr>
      <w:r>
        <w:rPr>
          <w:b/>
          <w:bCs/>
          <w:color w:val="127A41"/>
          <w:sz w:val="30"/>
          <w:szCs w:val="30"/>
        </w:rPr>
        <w:t xml:space="preserve">7. Year-End Assessment (December)</w:t>
      </w:r>
    </w:p>
    <w:p>
      <w:pPr>
        <w:pStyle w:val="Heading3"/>
        <w:spacing w:after="70" w:before="160"/>
      </w:pPr>
      <w:r>
        <w:rPr>
          <w:b/>
          <w:bCs/>
          <w:color w:val="444444"/>
          <w:sz w:val="21"/>
          <w:szCs w:val="21"/>
        </w:rPr>
        <w:t xml:space="preserve">7.1 Sequence (individual KPIs)</w:t>
      </w:r>
    </w:p>
    <w:p>
      <w:pPr>
        <w:pStyle w:val="ListParagraph"/>
        <w:numPr>
          <w:ilvl w:val="0"/>
          <w:numId w:val="3"/>
        </w:numPr>
        <w:spacing w:after="50" w:line="268"/>
      </w:pPr>
      <w:r>
        <w:rPr>
          <w:color w:val="444444"/>
          <w:sz w:val="20"/>
          <w:szCs w:val="20"/>
        </w:rPr>
        <w:t xml:space="preserve">Employee self-assesses against each KPI, using the five-level descriptors defined at goal-setting.</w:t>
      </w:r>
    </w:p>
    <w:p>
      <w:pPr>
        <w:pStyle w:val="ListParagraph"/>
        <w:numPr>
          <w:ilvl w:val="0"/>
          <w:numId w:val="3"/>
        </w:numPr>
        <w:spacing w:after="50" w:line="268"/>
      </w:pPr>
      <w:r>
        <w:rPr>
          <w:color w:val="444444"/>
          <w:sz w:val="20"/>
          <w:szCs w:val="20"/>
        </w:rPr>
        <w:t xml:space="preserve">Manager reviews.</w:t>
      </w:r>
    </w:p>
    <w:p>
      <w:pPr>
        <w:pStyle w:val="ListParagraph"/>
        <w:numPr>
          <w:ilvl w:val="0"/>
          <w:numId w:val="3"/>
        </w:numPr>
        <w:spacing w:after="50" w:line="268"/>
      </w:pPr>
      <w:r>
        <w:rPr>
          <w:color w:val="444444"/>
          <w:sz w:val="20"/>
          <w:szCs w:val="20"/>
        </w:rPr>
        <w:t xml:space="preserve">Offline discussion.</w:t>
      </w:r>
    </w:p>
    <w:p>
      <w:pPr>
        <w:pStyle w:val="ListParagraph"/>
        <w:numPr>
          <w:ilvl w:val="0"/>
          <w:numId w:val="3"/>
        </w:numPr>
        <w:spacing w:after="50" w:line="268"/>
      </w:pPr>
      <w:r>
        <w:rPr>
          <w:color w:val="444444"/>
          <w:sz w:val="20"/>
          <w:szCs w:val="20"/>
        </w:rPr>
        <w:t xml:space="preserve">Both sign off on the final ratings.</w:t>
      </w:r>
    </w:p>
    <w:p>
      <w:pPr>
        <w:pStyle w:val="Heading3"/>
        <w:spacing w:after="70" w:before="160"/>
      </w:pPr>
      <w:r>
        <w:rPr>
          <w:b/>
          <w:bCs/>
          <w:color w:val="444444"/>
          <w:sz w:val="21"/>
          <w:szCs w:val="21"/>
        </w:rPr>
        <w:t xml:space="preserve">7.2 Manager-of-record principle</w:t>
      </w:r>
    </w:p>
    <w:p>
      <w:pPr>
        <w:pStyle w:val="ListParagraph"/>
        <w:numPr>
          <w:ilvl w:val="0"/>
          <w:numId w:val="2"/>
        </w:numPr>
        <w:spacing w:after="50" w:line="268"/>
      </w:pPr>
      <w:r>
        <w:rPr>
          <w:color w:val="444444"/>
          <w:sz w:val="20"/>
          <w:szCs w:val="20"/>
        </w:rPr>
        <w:t xml:space="preserve">The manager-of-record for any action is whoever currently holds the relationship at the moment of that action, even if it changed during the year. Whoever is the manager at year-end signs the year-end assessment.</w:t>
      </w:r>
    </w:p>
    <w:p>
      <w:pPr>
        <w:pBdr>
          <w:bottom w:val="single" w:color="CFE3D6" w:sz="6"/>
        </w:pBdr>
        <w:spacing w:after="120" w:before="60"/>
      </w:pPr>
      <w:r>
        <w:rPr>
          <w:sz w:val="2"/>
          <w:szCs w:val="2"/>
        </w:rPr>
        <w:t xml:space="preserve"/>
      </w:r>
    </w:p>
    <w:p>
      <w:pPr>
        <w:pStyle w:val="Heading1"/>
        <w:spacing w:after="140" w:before="320"/>
      </w:pPr>
      <w:r>
        <w:rPr>
          <w:b/>
          <w:bCs/>
          <w:color w:val="127A41"/>
          <w:sz w:val="30"/>
          <w:szCs w:val="30"/>
        </w:rPr>
        <w:t xml:space="preserve">8. Scoring Model</w:t>
      </w:r>
    </w:p>
    <w:p>
      <w:pPr>
        <w:pStyle w:val="Heading3"/>
        <w:spacing w:after="70" w:before="160"/>
      </w:pPr>
      <w:r>
        <w:rPr>
          <w:b/>
          <w:bCs/>
          <w:color w:val="444444"/>
          <w:sz w:val="21"/>
          <w:szCs w:val="21"/>
        </w:rPr>
        <w:t xml:space="preserve">8.1 Rating scale (all components)</w:t>
      </w:r>
    </w:p>
    <w:p>
      <w:pPr>
        <w:spacing w:after="90" w:line="276"/>
      </w:pPr>
      <w:r>
        <w:rPr>
          <w:color w:val="444444"/>
          <w:sz w:val="20"/>
          <w:szCs w:val="20"/>
        </w:rPr>
        <w:t xml:space="preserve">All components resolve onto a 1–5 scale:</w:t>
      </w:r>
    </w:p>
    <w:tbl>
      <w:tblPr>
        <w:tblW w:type="dxa" w:w="9840"/>
        <w:tblBorders>
          <w:top w:val="single" w:color="CFE3D6" w:sz="4"/>
          <w:left w:val="single" w:color="CFE3D6" w:sz="4"/>
          <w:bottom w:val="single" w:color="CFE3D6" w:sz="4"/>
          <w:right w:val="single" w:color="CFE3D6" w:sz="4"/>
          <w:insideH w:val="single" w:color="CFE3D6" w:sz="4"/>
          <w:insideV w:val="single" w:color="CFE3D6" w:sz="4"/>
        </w:tblBorders>
      </w:tblPr>
      <w:tblGrid>
        <w:gridCol w:w="4920"/>
        <w:gridCol w:w="4920"/>
      </w:tblGrid>
      <w:tr>
        <w:trPr>
          <w:tblHeader/>
        </w:trPr>
        <w:tc>
          <w:tcPr>
            <w:tcW w:type="dxa" w:w="4920"/>
            <w:shd w:fill="1F9D55" w:color="auto" w:val="clear"/>
            <w:tcMar>
              <w:top w:type="dxa" w:w="60"/>
              <w:left w:type="dxa" w:w="100"/>
              <w:bottom w:type="dxa" w:w="60"/>
              <w:right w:type="dxa" w:w="100"/>
            </w:tcMar>
          </w:tcPr>
          <w:p>
            <w:pPr>
              <w:spacing w:after="0" w:line="252"/>
              <w:jc w:val="left"/>
            </w:pPr>
            <w:r>
              <w:rPr>
                <w:b/>
                <w:bCs/>
                <w:color w:val="FFFFFF"/>
                <w:sz w:val="19"/>
                <w:szCs w:val="19"/>
              </w:rPr>
              <w:t xml:space="preserve">Level</w:t>
            </w:r>
          </w:p>
        </w:tc>
        <w:tc>
          <w:tcPr>
            <w:tcW w:type="dxa" w:w="4920"/>
            <w:shd w:fill="1F9D55" w:color="auto" w:val="clear"/>
            <w:tcMar>
              <w:top w:type="dxa" w:w="60"/>
              <w:left w:type="dxa" w:w="100"/>
              <w:bottom w:type="dxa" w:w="60"/>
              <w:right w:type="dxa" w:w="100"/>
            </w:tcMar>
          </w:tcPr>
          <w:p>
            <w:pPr>
              <w:spacing w:after="0" w:line="252"/>
              <w:jc w:val="center"/>
            </w:pPr>
            <w:r>
              <w:rPr>
                <w:b/>
                <w:bCs/>
                <w:color w:val="FFFFFF"/>
                <w:sz w:val="19"/>
                <w:szCs w:val="19"/>
              </w:rPr>
              <w:t xml:space="preserve">Value</w:t>
            </w:r>
          </w:p>
        </w:tc>
      </w:tr>
      <w:tr>
        <w:tc>
          <w:tcPr>
            <w:tcW w:type="dxa" w:w="4920"/>
            <w:tcMar>
              <w:top w:type="dxa" w:w="60"/>
              <w:left w:type="dxa" w:w="100"/>
              <w:bottom w:type="dxa" w:w="60"/>
              <w:right w:type="dxa" w:w="100"/>
            </w:tcMar>
          </w:tcPr>
          <w:p>
            <w:pPr>
              <w:spacing w:after="0" w:line="252"/>
              <w:jc w:val="left"/>
            </w:pPr>
            <w:r>
              <w:rPr>
                <w:b w:val="false"/>
                <w:bCs w:val="false"/>
                <w:color w:val="444444"/>
                <w:sz w:val="19"/>
                <w:szCs w:val="19"/>
              </w:rPr>
              <w:t xml:space="preserve">Outstanding</w:t>
            </w:r>
          </w:p>
        </w:tc>
        <w:tc>
          <w:tcPr>
            <w:tcW w:type="dxa" w:w="4920"/>
            <w:tcMar>
              <w:top w:type="dxa" w:w="60"/>
              <w:left w:type="dxa" w:w="100"/>
              <w:bottom w:type="dxa" w:w="60"/>
              <w:right w:type="dxa" w:w="100"/>
            </w:tcMar>
          </w:tcPr>
          <w:p>
            <w:pPr>
              <w:spacing w:after="0" w:line="252"/>
              <w:jc w:val="center"/>
            </w:pPr>
            <w:r>
              <w:rPr>
                <w:b w:val="false"/>
                <w:bCs w:val="false"/>
                <w:color w:val="444444"/>
                <w:sz w:val="19"/>
                <w:szCs w:val="19"/>
              </w:rPr>
              <w:t xml:space="preserve">5</w:t>
            </w:r>
          </w:p>
        </w:tc>
      </w:tr>
      <w:tr>
        <w:tc>
          <w:tcPr>
            <w:tcW w:type="dxa" w:w="4920"/>
            <w:shd w:fill="F2F5F3" w:color="auto" w:val="clear"/>
            <w:tcMar>
              <w:top w:type="dxa" w:w="60"/>
              <w:left w:type="dxa" w:w="100"/>
              <w:bottom w:type="dxa" w:w="60"/>
              <w:right w:type="dxa" w:w="100"/>
            </w:tcMar>
          </w:tcPr>
          <w:p>
            <w:pPr>
              <w:spacing w:after="0" w:line="252"/>
              <w:jc w:val="left"/>
            </w:pPr>
            <w:r>
              <w:rPr>
                <w:b w:val="false"/>
                <w:bCs w:val="false"/>
                <w:color w:val="444444"/>
                <w:sz w:val="19"/>
                <w:szCs w:val="19"/>
              </w:rPr>
              <w:t xml:space="preserve">Excellent</w:t>
            </w:r>
          </w:p>
        </w:tc>
        <w:tc>
          <w:tcPr>
            <w:tcW w:type="dxa" w:w="492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4</w:t>
            </w:r>
          </w:p>
        </w:tc>
      </w:tr>
      <w:tr>
        <w:tc>
          <w:tcPr>
            <w:tcW w:type="dxa" w:w="4920"/>
            <w:tcMar>
              <w:top w:type="dxa" w:w="60"/>
              <w:left w:type="dxa" w:w="100"/>
              <w:bottom w:type="dxa" w:w="60"/>
              <w:right w:type="dxa" w:w="100"/>
            </w:tcMar>
          </w:tcPr>
          <w:p>
            <w:pPr>
              <w:spacing w:after="0" w:line="252"/>
              <w:jc w:val="left"/>
            </w:pPr>
            <w:r>
              <w:rPr>
                <w:b w:val="false"/>
                <w:bCs w:val="false"/>
                <w:color w:val="444444"/>
                <w:sz w:val="19"/>
                <w:szCs w:val="19"/>
              </w:rPr>
              <w:t xml:space="preserve">Target</w:t>
            </w:r>
          </w:p>
        </w:tc>
        <w:tc>
          <w:tcPr>
            <w:tcW w:type="dxa" w:w="4920"/>
            <w:tcMar>
              <w:top w:type="dxa" w:w="60"/>
              <w:left w:type="dxa" w:w="100"/>
              <w:bottom w:type="dxa" w:w="60"/>
              <w:right w:type="dxa" w:w="100"/>
            </w:tcMar>
          </w:tcPr>
          <w:p>
            <w:pPr>
              <w:spacing w:after="0" w:line="252"/>
              <w:jc w:val="center"/>
            </w:pPr>
            <w:r>
              <w:rPr>
                <w:b w:val="false"/>
                <w:bCs w:val="false"/>
                <w:color w:val="444444"/>
                <w:sz w:val="19"/>
                <w:szCs w:val="19"/>
              </w:rPr>
              <w:t xml:space="preserve">3</w:t>
            </w:r>
          </w:p>
        </w:tc>
      </w:tr>
      <w:tr>
        <w:tc>
          <w:tcPr>
            <w:tcW w:type="dxa" w:w="4920"/>
            <w:shd w:fill="F2F5F3" w:color="auto" w:val="clear"/>
            <w:tcMar>
              <w:top w:type="dxa" w:w="60"/>
              <w:left w:type="dxa" w:w="100"/>
              <w:bottom w:type="dxa" w:w="60"/>
              <w:right w:type="dxa" w:w="100"/>
            </w:tcMar>
          </w:tcPr>
          <w:p>
            <w:pPr>
              <w:spacing w:after="0" w:line="252"/>
              <w:jc w:val="left"/>
            </w:pPr>
            <w:r>
              <w:rPr>
                <w:b w:val="false"/>
                <w:bCs w:val="false"/>
                <w:color w:val="444444"/>
                <w:sz w:val="19"/>
                <w:szCs w:val="19"/>
              </w:rPr>
              <w:t xml:space="preserve">Almost Achieved</w:t>
            </w:r>
          </w:p>
        </w:tc>
        <w:tc>
          <w:tcPr>
            <w:tcW w:type="dxa" w:w="492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2</w:t>
            </w:r>
          </w:p>
        </w:tc>
      </w:tr>
      <w:tr>
        <w:tc>
          <w:tcPr>
            <w:tcW w:type="dxa" w:w="4920"/>
            <w:tcMar>
              <w:top w:type="dxa" w:w="60"/>
              <w:left w:type="dxa" w:w="100"/>
              <w:bottom w:type="dxa" w:w="60"/>
              <w:right w:type="dxa" w:w="100"/>
            </w:tcMar>
          </w:tcPr>
          <w:p>
            <w:pPr>
              <w:spacing w:after="0" w:line="252"/>
              <w:jc w:val="left"/>
            </w:pPr>
            <w:r>
              <w:rPr>
                <w:b w:val="false"/>
                <w:bCs w:val="false"/>
                <w:color w:val="444444"/>
                <w:sz w:val="19"/>
                <w:szCs w:val="19"/>
              </w:rPr>
              <w:t xml:space="preserve">Unsatisfactory</w:t>
            </w:r>
          </w:p>
        </w:tc>
        <w:tc>
          <w:tcPr>
            <w:tcW w:type="dxa" w:w="4920"/>
            <w:tcMar>
              <w:top w:type="dxa" w:w="60"/>
              <w:left w:type="dxa" w:w="100"/>
              <w:bottom w:type="dxa" w:w="60"/>
              <w:right w:type="dxa" w:w="100"/>
            </w:tcMar>
          </w:tcPr>
          <w:p>
            <w:pPr>
              <w:spacing w:after="0" w:line="252"/>
              <w:jc w:val="center"/>
            </w:pPr>
            <w:r>
              <w:rPr>
                <w:b w:val="false"/>
                <w:bCs w:val="false"/>
                <w:color w:val="444444"/>
                <w:sz w:val="19"/>
                <w:szCs w:val="19"/>
              </w:rPr>
              <w:t xml:space="preserve">1</w:t>
            </w:r>
          </w:p>
        </w:tc>
      </w:tr>
    </w:tbl>
    <w:p>
      <w:pPr>
        <w:spacing w:after="80"/>
      </w:pPr>
      <w:r>
        <w:rPr>
          <w:sz w:val="2"/>
          <w:szCs w:val="2"/>
        </w:rPr>
        <w:t xml:space="preserve"/>
      </w:r>
    </w:p>
    <w:p>
      <w:pPr>
        <w:pStyle w:val="Heading3"/>
        <w:spacing w:after="70" w:before="160"/>
      </w:pPr>
      <w:r>
        <w:rPr>
          <w:b/>
          <w:bCs/>
          <w:color w:val="444444"/>
          <w:sz w:val="21"/>
          <w:szCs w:val="21"/>
        </w:rPr>
        <w:t xml:space="preserve">8.2 Individual KPI score</w:t>
      </w:r>
    </w:p>
    <w:p>
      <w:pPr>
        <w:spacing w:after="90" w:line="276"/>
      </w:pPr>
      <w:r>
        <w:rPr>
          <w:color w:val="444444"/>
          <w:sz w:val="20"/>
          <w:szCs w:val="20"/>
        </w:rPr>
        <w:t xml:space="preserve">For each KPI: </w:t>
      </w:r>
      <w:r>
        <w:rPr>
          <w:b/>
          <w:bCs/>
          <w:color w:val="444444"/>
          <w:sz w:val="20"/>
          <w:szCs w:val="20"/>
        </w:rPr>
        <w:t xml:space="preserve">Rating × Weightage = Weighted KPI Score.</w:t>
      </w:r>
    </w:p>
    <w:p>
      <w:pPr>
        <w:spacing w:after="90" w:line="276"/>
      </w:pPr>
      <w:r>
        <w:rPr>
          <w:color w:val="444444"/>
          <w:sz w:val="20"/>
          <w:szCs w:val="20"/>
        </w:rPr>
        <w:t xml:space="preserve">The </w:t>
      </w:r>
      <w:r>
        <w:rPr>
          <w:b/>
          <w:bCs/>
          <w:color w:val="444444"/>
          <w:sz w:val="20"/>
          <w:szCs w:val="20"/>
        </w:rPr>
        <w:t xml:space="preserve">Individual KPI bucket score</w:t>
      </w:r>
      <w:r>
        <w:rPr>
          <w:color w:val="444444"/>
          <w:sz w:val="20"/>
          <w:szCs w:val="20"/>
        </w:rPr>
        <w:t xml:space="preserve"> = sum of all weighted KPI scores (weightages total 100%, so the result lands on the 1–5 scale).</w:t>
      </w:r>
    </w:p>
    <w:p>
      <w:pPr>
        <w:spacing w:after="90" w:line="276"/>
      </w:pPr>
      <w:r>
        <w:rPr>
          <w:i/>
          <w:iCs/>
          <w:color w:val="444444"/>
          <w:sz w:val="20"/>
          <w:szCs w:val="20"/>
        </w:rPr>
        <w:t xml:space="preserve">Example: </w:t>
      </w:r>
      <w:r>
        <w:rPr>
          <w:i/>
          <w:iCs/>
          <w:color w:val="444444"/>
          <w:sz w:val="20"/>
          <w:szCs w:val="20"/>
        </w:rPr>
        <w:t xml:space="preserve">KPI A = Target(3) × 5% = 0.15; KPI B = Excellent(4) × 20% = 0.80; … summed across all KPIs.</w:t>
      </w:r>
    </w:p>
    <w:p>
      <w:pPr>
        <w:pStyle w:val="Heading3"/>
        <w:spacing w:after="70" w:before="160"/>
      </w:pPr>
      <w:r>
        <w:rPr>
          <w:b/>
          <w:bCs/>
          <w:color w:val="444444"/>
          <w:sz w:val="21"/>
          <w:szCs w:val="21"/>
        </w:rPr>
        <w:t xml:space="preserve">8.3 Weight distribution by role track</w:t>
      </w:r>
    </w:p>
    <w:tbl>
      <w:tblPr>
        <w:tblW w:type="dxa" w:w="9840"/>
        <w:tblBorders>
          <w:top w:val="single" w:color="CFE3D6" w:sz="4"/>
          <w:left w:val="single" w:color="CFE3D6" w:sz="4"/>
          <w:bottom w:val="single" w:color="CFE3D6" w:sz="4"/>
          <w:right w:val="single" w:color="CFE3D6" w:sz="4"/>
          <w:insideH w:val="single" w:color="CFE3D6" w:sz="4"/>
          <w:insideV w:val="single" w:color="CFE3D6" w:sz="4"/>
        </w:tblBorders>
      </w:tblPr>
      <w:tblGrid>
        <w:gridCol w:w="3040"/>
        <w:gridCol w:w="1700"/>
        <w:gridCol w:w="1700"/>
        <w:gridCol w:w="1700"/>
        <w:gridCol w:w="1700"/>
      </w:tblGrid>
      <w:tr>
        <w:trPr>
          <w:tblHeader/>
        </w:trPr>
        <w:tc>
          <w:tcPr>
            <w:tcW w:type="dxa" w:w="3040"/>
            <w:shd w:fill="1F9D55" w:color="auto" w:val="clear"/>
            <w:tcMar>
              <w:top w:type="dxa" w:w="60"/>
              <w:left w:type="dxa" w:w="100"/>
              <w:bottom w:type="dxa" w:w="60"/>
              <w:right w:type="dxa" w:w="100"/>
            </w:tcMar>
          </w:tcPr>
          <w:p>
            <w:pPr>
              <w:spacing w:after="0" w:line="252"/>
              <w:jc w:val="left"/>
            </w:pPr>
            <w:r>
              <w:rPr>
                <w:b/>
                <w:bCs/>
                <w:color w:val="FFFFFF"/>
                <w:sz w:val="19"/>
                <w:szCs w:val="19"/>
              </w:rPr>
              <w:t xml:space="preserve">Component</w:t>
            </w:r>
          </w:p>
        </w:tc>
        <w:tc>
          <w:tcPr>
            <w:tcW w:type="dxa" w:w="1700"/>
            <w:shd w:fill="1F9D55" w:color="auto" w:val="clear"/>
            <w:tcMar>
              <w:top w:type="dxa" w:w="60"/>
              <w:left w:type="dxa" w:w="100"/>
              <w:bottom w:type="dxa" w:w="60"/>
              <w:right w:type="dxa" w:w="100"/>
            </w:tcMar>
          </w:tcPr>
          <w:p>
            <w:pPr>
              <w:spacing w:after="0" w:line="252"/>
              <w:jc w:val="center"/>
            </w:pPr>
            <w:r>
              <w:rPr>
                <w:b/>
                <w:bCs/>
                <w:color w:val="FFFFFF"/>
                <w:sz w:val="19"/>
                <w:szCs w:val="19"/>
              </w:rPr>
              <w:t xml:space="preserve">Directors</w:t>
            </w:r>
          </w:p>
        </w:tc>
        <w:tc>
          <w:tcPr>
            <w:tcW w:type="dxa" w:w="1700"/>
            <w:shd w:fill="1F9D55" w:color="auto" w:val="clear"/>
            <w:tcMar>
              <w:top w:type="dxa" w:w="60"/>
              <w:left w:type="dxa" w:w="100"/>
              <w:bottom w:type="dxa" w:w="60"/>
              <w:right w:type="dxa" w:w="100"/>
            </w:tcMar>
          </w:tcPr>
          <w:p>
            <w:pPr>
              <w:spacing w:after="0" w:line="252"/>
              <w:jc w:val="center"/>
            </w:pPr>
            <w:r>
              <w:rPr>
                <w:b/>
                <w:bCs/>
                <w:color w:val="FFFFFF"/>
                <w:sz w:val="19"/>
                <w:szCs w:val="19"/>
              </w:rPr>
              <w:t xml:space="preserve">Managers</w:t>
            </w:r>
          </w:p>
        </w:tc>
        <w:tc>
          <w:tcPr>
            <w:tcW w:type="dxa" w:w="1700"/>
            <w:shd w:fill="1F9D55" w:color="auto" w:val="clear"/>
            <w:tcMar>
              <w:top w:type="dxa" w:w="60"/>
              <w:left w:type="dxa" w:w="100"/>
              <w:bottom w:type="dxa" w:w="60"/>
              <w:right w:type="dxa" w:w="100"/>
            </w:tcMar>
          </w:tcPr>
          <w:p>
            <w:pPr>
              <w:spacing w:after="0" w:line="252"/>
              <w:jc w:val="center"/>
            </w:pPr>
            <w:r>
              <w:rPr>
                <w:b/>
                <w:bCs/>
                <w:color w:val="FFFFFF"/>
                <w:sz w:val="19"/>
                <w:szCs w:val="19"/>
              </w:rPr>
              <w:t xml:space="preserve">Leads</w:t>
            </w:r>
          </w:p>
        </w:tc>
        <w:tc>
          <w:tcPr>
            <w:tcW w:type="dxa" w:w="1700"/>
            <w:shd w:fill="1F9D55" w:color="auto" w:val="clear"/>
            <w:tcMar>
              <w:top w:type="dxa" w:w="60"/>
              <w:left w:type="dxa" w:w="100"/>
              <w:bottom w:type="dxa" w:w="60"/>
              <w:right w:type="dxa" w:w="100"/>
            </w:tcMar>
          </w:tcPr>
          <w:p>
            <w:pPr>
              <w:spacing w:after="0" w:line="252"/>
              <w:jc w:val="center"/>
            </w:pPr>
            <w:r>
              <w:rPr>
                <w:b/>
                <w:bCs/>
                <w:color w:val="FFFFFF"/>
                <w:sz w:val="19"/>
                <w:szCs w:val="19"/>
              </w:rPr>
              <w:t xml:space="preserve">Individuals</w:t>
            </w:r>
          </w:p>
        </w:tc>
      </w:tr>
      <w:tr>
        <w:tc>
          <w:tcPr>
            <w:tcW w:type="dxa" w:w="3040"/>
            <w:tcMar>
              <w:top w:type="dxa" w:w="60"/>
              <w:left w:type="dxa" w:w="100"/>
              <w:bottom w:type="dxa" w:w="60"/>
              <w:right w:type="dxa" w:w="100"/>
            </w:tcMar>
          </w:tcPr>
          <w:p>
            <w:pPr>
              <w:spacing w:after="0" w:line="252"/>
              <w:jc w:val="left"/>
            </w:pPr>
            <w:r>
              <w:rPr>
                <w:b w:val="false"/>
                <w:bCs w:val="false"/>
                <w:color w:val="444444"/>
                <w:sz w:val="19"/>
                <w:szCs w:val="19"/>
              </w:rPr>
              <w:t xml:space="preserve">Corporate KPI</w:t>
            </w:r>
          </w:p>
        </w:tc>
        <w:tc>
          <w:tcPr>
            <w:tcW w:type="dxa" w:w="1700"/>
            <w:tcMar>
              <w:top w:type="dxa" w:w="60"/>
              <w:left w:type="dxa" w:w="100"/>
              <w:bottom w:type="dxa" w:w="60"/>
              <w:right w:type="dxa" w:w="100"/>
            </w:tcMar>
          </w:tcPr>
          <w:p>
            <w:pPr>
              <w:spacing w:after="0" w:line="252"/>
              <w:jc w:val="center"/>
            </w:pPr>
            <w:r>
              <w:rPr>
                <w:b w:val="false"/>
                <w:bCs w:val="false"/>
                <w:color w:val="444444"/>
                <w:sz w:val="19"/>
                <w:szCs w:val="19"/>
              </w:rPr>
              <w:t xml:space="preserve">30%</w:t>
            </w:r>
          </w:p>
        </w:tc>
        <w:tc>
          <w:tcPr>
            <w:tcW w:type="dxa" w:w="1700"/>
            <w:tcMar>
              <w:top w:type="dxa" w:w="60"/>
              <w:left w:type="dxa" w:w="100"/>
              <w:bottom w:type="dxa" w:w="60"/>
              <w:right w:type="dxa" w:w="100"/>
            </w:tcMar>
          </w:tcPr>
          <w:p>
            <w:pPr>
              <w:spacing w:after="0" w:line="252"/>
              <w:jc w:val="center"/>
            </w:pPr>
            <w:r>
              <w:rPr>
                <w:b w:val="false"/>
                <w:bCs w:val="false"/>
                <w:color w:val="444444"/>
                <w:sz w:val="19"/>
                <w:szCs w:val="19"/>
              </w:rPr>
              <w:t xml:space="preserve">20%</w:t>
            </w:r>
          </w:p>
        </w:tc>
        <w:tc>
          <w:tcPr>
            <w:tcW w:type="dxa" w:w="1700"/>
            <w:tcMar>
              <w:top w:type="dxa" w:w="60"/>
              <w:left w:type="dxa" w:w="100"/>
              <w:bottom w:type="dxa" w:w="60"/>
              <w:right w:type="dxa" w:w="100"/>
            </w:tcMar>
          </w:tcPr>
          <w:p>
            <w:pPr>
              <w:spacing w:after="0" w:line="252"/>
              <w:jc w:val="center"/>
            </w:pPr>
            <w:r>
              <w:rPr>
                <w:b w:val="false"/>
                <w:bCs w:val="false"/>
                <w:color w:val="444444"/>
                <w:sz w:val="19"/>
                <w:szCs w:val="19"/>
              </w:rPr>
              <w:t xml:space="preserve">10%</w:t>
            </w:r>
          </w:p>
        </w:tc>
        <w:tc>
          <w:tcPr>
            <w:tcW w:type="dxa" w:w="1700"/>
            <w:tcMar>
              <w:top w:type="dxa" w:w="60"/>
              <w:left w:type="dxa" w:w="100"/>
              <w:bottom w:type="dxa" w:w="60"/>
              <w:right w:type="dxa" w:w="100"/>
            </w:tcMar>
          </w:tcPr>
          <w:p>
            <w:pPr>
              <w:spacing w:after="0" w:line="252"/>
              <w:jc w:val="center"/>
            </w:pPr>
            <w:r>
              <w:rPr>
                <w:b w:val="false"/>
                <w:bCs w:val="false"/>
                <w:color w:val="444444"/>
                <w:sz w:val="19"/>
                <w:szCs w:val="19"/>
              </w:rPr>
              <w:t xml:space="preserve">10%</w:t>
            </w:r>
          </w:p>
        </w:tc>
      </w:tr>
      <w:tr>
        <w:tc>
          <w:tcPr>
            <w:tcW w:type="dxa" w:w="3040"/>
            <w:shd w:fill="F2F5F3" w:color="auto" w:val="clear"/>
            <w:tcMar>
              <w:top w:type="dxa" w:w="60"/>
              <w:left w:type="dxa" w:w="100"/>
              <w:bottom w:type="dxa" w:w="60"/>
              <w:right w:type="dxa" w:w="100"/>
            </w:tcMar>
          </w:tcPr>
          <w:p>
            <w:pPr>
              <w:spacing w:after="0" w:line="252"/>
              <w:jc w:val="left"/>
            </w:pPr>
            <w:r>
              <w:rPr>
                <w:b w:val="false"/>
                <w:bCs w:val="false"/>
                <w:color w:val="444444"/>
                <w:sz w:val="19"/>
                <w:szCs w:val="19"/>
              </w:rPr>
              <w:t xml:space="preserve">Departmental KPI</w:t>
            </w:r>
          </w:p>
        </w:tc>
        <w:tc>
          <w:tcPr>
            <w:tcW w:type="dxa" w:w="170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40%</w:t>
            </w:r>
          </w:p>
        </w:tc>
        <w:tc>
          <w:tcPr>
            <w:tcW w:type="dxa" w:w="170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50%</w:t>
            </w:r>
          </w:p>
        </w:tc>
        <w:tc>
          <w:tcPr>
            <w:tcW w:type="dxa" w:w="170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60%</w:t>
            </w:r>
          </w:p>
        </w:tc>
        <w:tc>
          <w:tcPr>
            <w:tcW w:type="dxa" w:w="170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w:t>
            </w:r>
          </w:p>
        </w:tc>
      </w:tr>
      <w:tr>
        <w:tc>
          <w:tcPr>
            <w:tcW w:type="dxa" w:w="3040"/>
            <w:tcMar>
              <w:top w:type="dxa" w:w="60"/>
              <w:left w:type="dxa" w:w="100"/>
              <w:bottom w:type="dxa" w:w="60"/>
              <w:right w:type="dxa" w:w="100"/>
            </w:tcMar>
          </w:tcPr>
          <w:p>
            <w:pPr>
              <w:spacing w:after="0" w:line="252"/>
              <w:jc w:val="left"/>
            </w:pPr>
            <w:r>
              <w:rPr>
                <w:b w:val="false"/>
                <w:bCs w:val="false"/>
                <w:color w:val="444444"/>
                <w:sz w:val="19"/>
                <w:szCs w:val="19"/>
              </w:rPr>
              <w:t xml:space="preserve">Individual KPI</w:t>
            </w:r>
          </w:p>
        </w:tc>
        <w:tc>
          <w:tcPr>
            <w:tcW w:type="dxa" w:w="1700"/>
            <w:tcMar>
              <w:top w:type="dxa" w:w="60"/>
              <w:left w:type="dxa" w:w="100"/>
              <w:bottom w:type="dxa" w:w="60"/>
              <w:right w:type="dxa" w:w="100"/>
            </w:tcMar>
          </w:tcPr>
          <w:p>
            <w:pPr>
              <w:spacing w:after="0" w:line="252"/>
              <w:jc w:val="center"/>
            </w:pPr>
            <w:r>
              <w:rPr>
                <w:b w:val="false"/>
                <w:bCs w:val="false"/>
                <w:color w:val="444444"/>
                <w:sz w:val="19"/>
                <w:szCs w:val="19"/>
              </w:rPr>
              <w:t xml:space="preserve">10%</w:t>
            </w:r>
          </w:p>
        </w:tc>
        <w:tc>
          <w:tcPr>
            <w:tcW w:type="dxa" w:w="1700"/>
            <w:tcMar>
              <w:top w:type="dxa" w:w="60"/>
              <w:left w:type="dxa" w:w="100"/>
              <w:bottom w:type="dxa" w:w="60"/>
              <w:right w:type="dxa" w:w="100"/>
            </w:tcMar>
          </w:tcPr>
          <w:p>
            <w:pPr>
              <w:spacing w:after="0" w:line="252"/>
              <w:jc w:val="center"/>
            </w:pPr>
            <w:r>
              <w:rPr>
                <w:b w:val="false"/>
                <w:bCs w:val="false"/>
                <w:color w:val="444444"/>
                <w:sz w:val="19"/>
                <w:szCs w:val="19"/>
              </w:rPr>
              <w:t xml:space="preserve">10%</w:t>
            </w:r>
          </w:p>
        </w:tc>
        <w:tc>
          <w:tcPr>
            <w:tcW w:type="dxa" w:w="1700"/>
            <w:tcMar>
              <w:top w:type="dxa" w:w="60"/>
              <w:left w:type="dxa" w:w="100"/>
              <w:bottom w:type="dxa" w:w="60"/>
              <w:right w:type="dxa" w:w="100"/>
            </w:tcMar>
          </w:tcPr>
          <w:p>
            <w:pPr>
              <w:spacing w:after="0" w:line="252"/>
              <w:jc w:val="center"/>
            </w:pPr>
            <w:r>
              <w:rPr>
                <w:b w:val="false"/>
                <w:bCs w:val="false"/>
                <w:color w:val="444444"/>
                <w:sz w:val="19"/>
                <w:szCs w:val="19"/>
              </w:rPr>
              <w:t xml:space="preserve">10%</w:t>
            </w:r>
          </w:p>
        </w:tc>
        <w:tc>
          <w:tcPr>
            <w:tcW w:type="dxa" w:w="1700"/>
            <w:tcMar>
              <w:top w:type="dxa" w:w="60"/>
              <w:left w:type="dxa" w:w="100"/>
              <w:bottom w:type="dxa" w:w="60"/>
              <w:right w:type="dxa" w:w="100"/>
            </w:tcMar>
          </w:tcPr>
          <w:p>
            <w:pPr>
              <w:spacing w:after="0" w:line="252"/>
              <w:jc w:val="center"/>
            </w:pPr>
            <w:r>
              <w:rPr>
                <w:b w:val="false"/>
                <w:bCs w:val="false"/>
                <w:color w:val="444444"/>
                <w:sz w:val="19"/>
                <w:szCs w:val="19"/>
              </w:rPr>
              <w:t xml:space="preserve">80%</w:t>
            </w:r>
          </w:p>
        </w:tc>
      </w:tr>
      <w:tr>
        <w:tc>
          <w:tcPr>
            <w:tcW w:type="dxa" w:w="3040"/>
            <w:shd w:fill="F2F5F3" w:color="auto" w:val="clear"/>
            <w:tcMar>
              <w:top w:type="dxa" w:w="60"/>
              <w:left w:type="dxa" w:w="100"/>
              <w:bottom w:type="dxa" w:w="60"/>
              <w:right w:type="dxa" w:w="100"/>
            </w:tcMar>
          </w:tcPr>
          <w:p>
            <w:pPr>
              <w:spacing w:after="0" w:line="252"/>
              <w:jc w:val="left"/>
            </w:pPr>
            <w:r>
              <w:rPr>
                <w:b w:val="false"/>
                <w:bCs w:val="false"/>
                <w:color w:val="444444"/>
                <w:sz w:val="19"/>
                <w:szCs w:val="19"/>
              </w:rPr>
              <w:t xml:space="preserve">360 Assessment</w:t>
            </w:r>
          </w:p>
        </w:tc>
        <w:tc>
          <w:tcPr>
            <w:tcW w:type="dxa" w:w="170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20%</w:t>
            </w:r>
          </w:p>
        </w:tc>
        <w:tc>
          <w:tcPr>
            <w:tcW w:type="dxa" w:w="170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20%</w:t>
            </w:r>
          </w:p>
        </w:tc>
        <w:tc>
          <w:tcPr>
            <w:tcW w:type="dxa" w:w="170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20%</w:t>
            </w:r>
          </w:p>
        </w:tc>
        <w:tc>
          <w:tcPr>
            <w:tcW w:type="dxa" w:w="170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10%</w:t>
            </w:r>
          </w:p>
        </w:tc>
      </w:tr>
    </w:tbl>
    <w:p>
      <w:pPr>
        <w:spacing w:after="80"/>
      </w:pPr>
      <w:r>
        <w:rPr>
          <w:sz w:val="2"/>
          <w:szCs w:val="2"/>
        </w:rPr>
        <w:t xml:space="preserve"/>
      </w:r>
    </w:p>
    <w:p>
      <w:pPr>
        <w:pStyle w:val="ListParagraph"/>
        <w:numPr>
          <w:ilvl w:val="0"/>
          <w:numId w:val="2"/>
        </w:numPr>
        <w:spacing w:after="50" w:line="268"/>
      </w:pPr>
      <w:r>
        <w:rPr>
          <w:b/>
          <w:bCs/>
          <w:color w:val="444444"/>
          <w:sz w:val="20"/>
          <w:szCs w:val="20"/>
        </w:rPr>
        <w:t xml:space="preserve">C-Level: </w:t>
      </w:r>
      <w:r>
        <w:rPr>
          <w:color w:val="444444"/>
          <w:sz w:val="20"/>
          <w:szCs w:val="20"/>
        </w:rPr>
        <w:t xml:space="preserve">no formula. Final Score = the entity's Corporate KPI score, passed straight through. C-Level skip goal-setting, self-assessment, and 360 entirely; they exist in the system for record-keeping/reporting, and HR confirms the entity score flows through.</w:t>
      </w:r>
    </w:p>
    <w:p>
      <w:pPr>
        <w:pStyle w:val="Heading3"/>
        <w:spacing w:after="70" w:before="160"/>
      </w:pPr>
      <w:r>
        <w:rPr>
          <w:b/>
          <w:bCs/>
          <w:color w:val="444444"/>
          <w:sz w:val="21"/>
          <w:szCs w:val="21"/>
        </w:rPr>
        <w:t xml:space="preserve">8.4 Component sources</w:t>
      </w:r>
    </w:p>
    <w:p>
      <w:pPr>
        <w:pStyle w:val="ListParagraph"/>
        <w:numPr>
          <w:ilvl w:val="0"/>
          <w:numId w:val="2"/>
        </w:numPr>
        <w:spacing w:after="50" w:line="268"/>
      </w:pPr>
      <w:r>
        <w:rPr>
          <w:b/>
          <w:bCs/>
          <w:color w:val="444444"/>
          <w:sz w:val="20"/>
          <w:szCs w:val="20"/>
        </w:rPr>
        <w:t xml:space="preserve">Corporate KPI: </w:t>
      </w:r>
      <w:r>
        <w:rPr>
          <w:color w:val="444444"/>
          <w:sz w:val="20"/>
          <w:szCs w:val="20"/>
        </w:rPr>
        <w:t xml:space="preserve">produced by the Strategy team, provided to HR as one score per entity (Rihal, TP, CL). Each employee receives the Corporate score of their entity. On the 1–5 scale.</w:t>
      </w:r>
    </w:p>
    <w:p>
      <w:pPr>
        <w:pStyle w:val="ListParagraph"/>
        <w:numPr>
          <w:ilvl w:val="0"/>
          <w:numId w:val="2"/>
        </w:numPr>
        <w:spacing w:after="50" w:line="268"/>
      </w:pPr>
      <w:r>
        <w:rPr>
          <w:b/>
          <w:bCs/>
          <w:color w:val="444444"/>
          <w:sz w:val="20"/>
          <w:szCs w:val="20"/>
        </w:rPr>
        <w:t xml:space="preserve">Departmental KPI: </w:t>
      </w:r>
      <w:r>
        <w:rPr>
          <w:color w:val="444444"/>
          <w:sz w:val="20"/>
          <w:szCs w:val="20"/>
        </w:rPr>
        <w:t xml:space="preserve">produced by the Strategy team, provided to HR as one score per department. Automatically applied to all Directors, Managers, and Leads tagged to that department. On the 1–5 scale. (Individuals have no Departmental component.)</w:t>
      </w:r>
    </w:p>
    <w:p>
      <w:pPr>
        <w:pStyle w:val="ListParagraph"/>
        <w:numPr>
          <w:ilvl w:val="0"/>
          <w:numId w:val="2"/>
        </w:numPr>
        <w:spacing w:after="50" w:line="268"/>
      </w:pPr>
      <w:r>
        <w:rPr>
          <w:b/>
          <w:bCs/>
          <w:color w:val="444444"/>
          <w:sz w:val="20"/>
          <w:szCs w:val="20"/>
        </w:rPr>
        <w:t xml:space="preserve">Individual KPI: </w:t>
      </w:r>
      <w:r>
        <w:rPr>
          <w:color w:val="444444"/>
          <w:sz w:val="20"/>
          <w:szCs w:val="20"/>
        </w:rPr>
        <w:t xml:space="preserve">the §8.2 bucket score.</w:t>
      </w:r>
    </w:p>
    <w:p>
      <w:pPr>
        <w:pStyle w:val="ListParagraph"/>
        <w:numPr>
          <w:ilvl w:val="0"/>
          <w:numId w:val="2"/>
        </w:numPr>
        <w:spacing w:after="50" w:line="268"/>
      </w:pPr>
      <w:r>
        <w:rPr>
          <w:b/>
          <w:bCs/>
          <w:color w:val="444444"/>
          <w:sz w:val="20"/>
          <w:szCs w:val="20"/>
        </w:rPr>
        <w:t xml:space="preserve">360: </w:t>
      </w:r>
      <w:r>
        <w:rPr>
          <w:color w:val="444444"/>
          <w:sz w:val="20"/>
          <w:szCs w:val="20"/>
        </w:rPr>
        <w:t xml:space="preserve">see §9.</w:t>
      </w:r>
    </w:p>
    <w:p>
      <w:pPr>
        <w:pStyle w:val="Heading3"/>
        <w:spacing w:after="70" w:before="160"/>
      </w:pPr>
      <w:r>
        <w:rPr>
          <w:b/>
          <w:bCs/>
          <w:color w:val="444444"/>
          <w:sz w:val="21"/>
          <w:szCs w:val="21"/>
        </w:rPr>
        <w:t xml:space="preserve">8.5 360 score into the formula</w:t>
      </w:r>
    </w:p>
    <w:p>
      <w:pPr>
        <w:pStyle w:val="ListParagraph"/>
        <w:numPr>
          <w:ilvl w:val="0"/>
          <w:numId w:val="2"/>
        </w:numPr>
        <w:spacing w:after="50" w:line="268"/>
      </w:pPr>
      <w:r>
        <w:rPr>
          <w:color w:val="444444"/>
          <w:sz w:val="20"/>
          <w:szCs w:val="20"/>
        </w:rPr>
        <w:t xml:space="preserve">The 360 result is carried into the final formula as its 1–5 equivalent: the averaged ratio (see §9.5) × 5.</w:t>
      </w:r>
    </w:p>
    <w:p>
      <w:pPr>
        <w:pStyle w:val="ListParagraph"/>
        <w:numPr>
          <w:ilvl w:val="0"/>
          <w:numId w:val="2"/>
        </w:numPr>
        <w:spacing w:after="50" w:line="268"/>
      </w:pPr>
      <w:r>
        <w:rPr>
          <w:color w:val="444444"/>
          <w:sz w:val="20"/>
          <w:szCs w:val="20"/>
        </w:rPr>
        <w:t xml:space="preserve">Example: averaged ratio 0.92 → 0.92 × 5 = 4.60, which then enters the formula weighted by the track's 360 weight.</w:t>
      </w:r>
    </w:p>
    <w:p>
      <w:pPr>
        <w:pStyle w:val="Heading3"/>
        <w:spacing w:after="70" w:before="160"/>
      </w:pPr>
      <w:r>
        <w:rPr>
          <w:b/>
          <w:bCs/>
          <w:color w:val="444444"/>
          <w:sz w:val="21"/>
          <w:szCs w:val="21"/>
        </w:rPr>
        <w:t xml:space="preserve">8.6 Final score formula</w:t>
      </w:r>
    </w:p>
    <w:p>
      <w:pPr>
        <w:spacing w:after="90" w:line="276"/>
      </w:pPr>
      <w:r>
        <w:rPr>
          <w:color w:val="444444"/>
          <w:sz w:val="20"/>
          <w:szCs w:val="20"/>
        </w:rPr>
        <w:t xml:space="preserve">For all non-C-Level tracks, all four components are on the 1–5 scale: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AF4EE" w:sz="2"/>
              <w:left w:val="single" w:color="1F9D55" w:sz="24"/>
              <w:bottom w:val="single" w:color="EAF4EE" w:sz="2"/>
              <w:right w:val="single" w:color="EAF4EE" w:sz="2"/>
            </w:tcBorders>
            <w:shd w:fill="EAF4EE" w:color="auto" w:val="clear"/>
            <w:tcMar>
              <w:top w:type="dxa" w:w="120"/>
              <w:left w:type="dxa" w:w="160"/>
              <w:bottom w:type="dxa" w:w="120"/>
              <w:right w:type="dxa" w:w="160"/>
            </w:tcMar>
          </w:tcPr>
          <w:p>
            <w:pPr>
              <w:spacing w:after="60" w:line="268"/>
            </w:pPr>
            <w:r>
              <w:rPr>
                <w:b/>
                <w:bCs/>
                <w:color w:val="127A41"/>
                <w:sz w:val="20"/>
                <w:szCs w:val="20"/>
              </w:rPr>
              <w:t xml:space="preserve">Final Score = (Corporate × w) + (Departmental × w) + (Individual × w) + (360</w:t>
            </w:r>
            <w:r>
              <w:rPr>
                <w:b/>
                <w:bCs/>
                <w:color w:val="127A41"/>
                <w:sz w:val="14"/>
                <w:szCs w:val="14"/>
              </w:rPr>
              <w:t xml:space="preserve">(1–5)</w:t>
            </w:r>
            <w:r>
              <w:rPr>
                <w:b/>
                <w:bCs/>
                <w:color w:val="127A41"/>
                <w:sz w:val="20"/>
                <w:szCs w:val="20"/>
              </w:rPr>
              <w:t xml:space="preserve"> × w)</w:t>
            </w:r>
          </w:p>
          <w:p>
            <w:pPr>
              <w:spacing w:after="0" w:line="268"/>
            </w:pPr>
            <w:r>
              <w:rPr>
                <w:color w:val="127A41"/>
                <w:sz w:val="20"/>
                <w:szCs w:val="20"/>
              </w:rPr>
              <w:t xml:space="preserve">Individual-track example:  Final = (Individual × 80%) + (360</w:t>
            </w:r>
            <w:r>
              <w:rPr>
                <w:color w:val="127A41"/>
                <w:sz w:val="14"/>
                <w:szCs w:val="14"/>
              </w:rPr>
              <w:t xml:space="preserve">(1–5)</w:t>
            </w:r>
            <w:r>
              <w:rPr>
                <w:color w:val="127A41"/>
                <w:sz w:val="20"/>
                <w:szCs w:val="20"/>
              </w:rPr>
              <w:t xml:space="preserve"> × 10%) + (Corporate × 10%)</w:t>
            </w:r>
          </w:p>
        </w:tc>
      </w:tr>
    </w:tbl>
    <w:p>
      <w:pPr>
        <w:spacing w:after="60"/>
      </w:pPr>
      <w:r>
        <w:rPr>
          <w:sz w:val="2"/>
          <w:szCs w:val="2"/>
        </w:rPr>
        <w:t xml:space="preserve"/>
      </w:r>
    </w:p>
    <w:p>
      <w:pPr>
        <w:spacing w:after="90" w:line="276"/>
      </w:pPr>
      <w:r>
        <w:rPr>
          <w:color w:val="444444"/>
          <w:sz w:val="20"/>
          <w:szCs w:val="20"/>
        </w:rPr>
        <w:t xml:space="preserve">The result is a number between 1 and 5.</w:t>
      </w:r>
    </w:p>
    <w:p>
      <w:pPr>
        <w:pStyle w:val="Heading3"/>
        <w:spacing w:after="70" w:before="160"/>
      </w:pPr>
      <w:r>
        <w:rPr>
          <w:b/>
          <w:bCs/>
          <w:color w:val="444444"/>
          <w:sz w:val="21"/>
          <w:szCs w:val="21"/>
        </w:rPr>
        <w:t xml:space="preserve">8.7 Final band mapping</w:t>
      </w:r>
    </w:p>
    <w:tbl>
      <w:tblPr>
        <w:tblW w:type="dxa" w:w="9840"/>
        <w:tblBorders>
          <w:top w:val="single" w:color="CFE3D6" w:sz="4"/>
          <w:left w:val="single" w:color="CFE3D6" w:sz="4"/>
          <w:bottom w:val="single" w:color="CFE3D6" w:sz="4"/>
          <w:right w:val="single" w:color="CFE3D6" w:sz="4"/>
          <w:insideH w:val="single" w:color="CFE3D6" w:sz="4"/>
          <w:insideV w:val="single" w:color="CFE3D6" w:sz="4"/>
        </w:tblBorders>
      </w:tblPr>
      <w:tblGrid>
        <w:gridCol w:w="4920"/>
        <w:gridCol w:w="4920"/>
      </w:tblGrid>
      <w:tr>
        <w:trPr>
          <w:tblHeader/>
        </w:trPr>
        <w:tc>
          <w:tcPr>
            <w:tcW w:type="dxa" w:w="4920"/>
            <w:shd w:fill="1F9D55" w:color="auto" w:val="clear"/>
            <w:tcMar>
              <w:top w:type="dxa" w:w="60"/>
              <w:left w:type="dxa" w:w="100"/>
              <w:bottom w:type="dxa" w:w="60"/>
              <w:right w:type="dxa" w:w="100"/>
            </w:tcMar>
          </w:tcPr>
          <w:p>
            <w:pPr>
              <w:spacing w:after="0" w:line="252"/>
              <w:jc w:val="left"/>
            </w:pPr>
            <w:r>
              <w:rPr>
                <w:b/>
                <w:bCs/>
                <w:color w:val="FFFFFF"/>
                <w:sz w:val="19"/>
                <w:szCs w:val="19"/>
              </w:rPr>
              <w:t xml:space="preserve">Final Score</w:t>
            </w:r>
          </w:p>
        </w:tc>
        <w:tc>
          <w:tcPr>
            <w:tcW w:type="dxa" w:w="4920"/>
            <w:shd w:fill="1F9D55" w:color="auto" w:val="clear"/>
            <w:tcMar>
              <w:top w:type="dxa" w:w="60"/>
              <w:left w:type="dxa" w:w="100"/>
              <w:bottom w:type="dxa" w:w="60"/>
              <w:right w:type="dxa" w:w="100"/>
            </w:tcMar>
          </w:tcPr>
          <w:p>
            <w:pPr>
              <w:spacing w:after="0" w:line="252"/>
              <w:jc w:val="center"/>
            </w:pPr>
            <w:r>
              <w:rPr>
                <w:b/>
                <w:bCs/>
                <w:color w:val="FFFFFF"/>
                <w:sz w:val="19"/>
                <w:szCs w:val="19"/>
              </w:rPr>
              <w:t xml:space="preserve">Band</w:t>
            </w:r>
          </w:p>
        </w:tc>
      </w:tr>
      <w:tr>
        <w:tc>
          <w:tcPr>
            <w:tcW w:type="dxa" w:w="4920"/>
            <w:tcMar>
              <w:top w:type="dxa" w:w="60"/>
              <w:left w:type="dxa" w:w="100"/>
              <w:bottom w:type="dxa" w:w="60"/>
              <w:right w:type="dxa" w:w="100"/>
            </w:tcMar>
          </w:tcPr>
          <w:p>
            <w:pPr>
              <w:spacing w:after="0" w:line="252"/>
              <w:jc w:val="left"/>
            </w:pPr>
            <w:r>
              <w:rPr>
                <w:b w:val="false"/>
                <w:bCs w:val="false"/>
                <w:color w:val="444444"/>
                <w:sz w:val="19"/>
                <w:szCs w:val="19"/>
              </w:rPr>
              <w:t xml:space="preserve">4.50 – 5.00</w:t>
            </w:r>
          </w:p>
        </w:tc>
        <w:tc>
          <w:tcPr>
            <w:tcW w:type="dxa" w:w="4920"/>
            <w:tcMar>
              <w:top w:type="dxa" w:w="60"/>
              <w:left w:type="dxa" w:w="100"/>
              <w:bottom w:type="dxa" w:w="60"/>
              <w:right w:type="dxa" w:w="100"/>
            </w:tcMar>
          </w:tcPr>
          <w:p>
            <w:pPr>
              <w:spacing w:after="0" w:line="252"/>
              <w:jc w:val="center"/>
            </w:pPr>
            <w:r>
              <w:rPr>
                <w:b w:val="false"/>
                <w:bCs w:val="false"/>
                <w:color w:val="444444"/>
                <w:sz w:val="19"/>
                <w:szCs w:val="19"/>
              </w:rPr>
              <w:t xml:space="preserve">Outstanding</w:t>
            </w:r>
          </w:p>
        </w:tc>
      </w:tr>
      <w:tr>
        <w:tc>
          <w:tcPr>
            <w:tcW w:type="dxa" w:w="4920"/>
            <w:shd w:fill="F2F5F3" w:color="auto" w:val="clear"/>
            <w:tcMar>
              <w:top w:type="dxa" w:w="60"/>
              <w:left w:type="dxa" w:w="100"/>
              <w:bottom w:type="dxa" w:w="60"/>
              <w:right w:type="dxa" w:w="100"/>
            </w:tcMar>
          </w:tcPr>
          <w:p>
            <w:pPr>
              <w:spacing w:after="0" w:line="252"/>
              <w:jc w:val="left"/>
            </w:pPr>
            <w:r>
              <w:rPr>
                <w:b w:val="false"/>
                <w:bCs w:val="false"/>
                <w:color w:val="444444"/>
                <w:sz w:val="19"/>
                <w:szCs w:val="19"/>
              </w:rPr>
              <w:t xml:space="preserve">4.00 – 4.49</w:t>
            </w:r>
          </w:p>
        </w:tc>
        <w:tc>
          <w:tcPr>
            <w:tcW w:type="dxa" w:w="492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Excellent</w:t>
            </w:r>
          </w:p>
        </w:tc>
      </w:tr>
      <w:tr>
        <w:tc>
          <w:tcPr>
            <w:tcW w:type="dxa" w:w="4920"/>
            <w:tcMar>
              <w:top w:type="dxa" w:w="60"/>
              <w:left w:type="dxa" w:w="100"/>
              <w:bottom w:type="dxa" w:w="60"/>
              <w:right w:type="dxa" w:w="100"/>
            </w:tcMar>
          </w:tcPr>
          <w:p>
            <w:pPr>
              <w:spacing w:after="0" w:line="252"/>
              <w:jc w:val="left"/>
            </w:pPr>
            <w:r>
              <w:rPr>
                <w:b w:val="false"/>
                <w:bCs w:val="false"/>
                <w:color w:val="444444"/>
                <w:sz w:val="19"/>
                <w:szCs w:val="19"/>
              </w:rPr>
              <w:t xml:space="preserve">3.00 – 3.99</w:t>
            </w:r>
          </w:p>
        </w:tc>
        <w:tc>
          <w:tcPr>
            <w:tcW w:type="dxa" w:w="4920"/>
            <w:tcMar>
              <w:top w:type="dxa" w:w="60"/>
              <w:left w:type="dxa" w:w="100"/>
              <w:bottom w:type="dxa" w:w="60"/>
              <w:right w:type="dxa" w:w="100"/>
            </w:tcMar>
          </w:tcPr>
          <w:p>
            <w:pPr>
              <w:spacing w:after="0" w:line="252"/>
              <w:jc w:val="center"/>
            </w:pPr>
            <w:r>
              <w:rPr>
                <w:b w:val="false"/>
                <w:bCs w:val="false"/>
                <w:color w:val="444444"/>
                <w:sz w:val="19"/>
                <w:szCs w:val="19"/>
              </w:rPr>
              <w:t xml:space="preserve">Target</w:t>
            </w:r>
          </w:p>
        </w:tc>
      </w:tr>
      <w:tr>
        <w:tc>
          <w:tcPr>
            <w:tcW w:type="dxa" w:w="4920"/>
            <w:shd w:fill="F2F5F3" w:color="auto" w:val="clear"/>
            <w:tcMar>
              <w:top w:type="dxa" w:w="60"/>
              <w:left w:type="dxa" w:w="100"/>
              <w:bottom w:type="dxa" w:w="60"/>
              <w:right w:type="dxa" w:w="100"/>
            </w:tcMar>
          </w:tcPr>
          <w:p>
            <w:pPr>
              <w:spacing w:after="0" w:line="252"/>
              <w:jc w:val="left"/>
            </w:pPr>
            <w:r>
              <w:rPr>
                <w:b w:val="false"/>
                <w:bCs w:val="false"/>
                <w:color w:val="444444"/>
                <w:sz w:val="19"/>
                <w:szCs w:val="19"/>
              </w:rPr>
              <w:t xml:space="preserve">2.00 – 2.99</w:t>
            </w:r>
          </w:p>
        </w:tc>
        <w:tc>
          <w:tcPr>
            <w:tcW w:type="dxa" w:w="492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Almost Achieved</w:t>
            </w:r>
          </w:p>
        </w:tc>
      </w:tr>
      <w:tr>
        <w:tc>
          <w:tcPr>
            <w:tcW w:type="dxa" w:w="4920"/>
            <w:tcMar>
              <w:top w:type="dxa" w:w="60"/>
              <w:left w:type="dxa" w:w="100"/>
              <w:bottom w:type="dxa" w:w="60"/>
              <w:right w:type="dxa" w:w="100"/>
            </w:tcMar>
          </w:tcPr>
          <w:p>
            <w:pPr>
              <w:spacing w:after="0" w:line="252"/>
              <w:jc w:val="left"/>
            </w:pPr>
            <w:r>
              <w:rPr>
                <w:b w:val="false"/>
                <w:bCs w:val="false"/>
                <w:color w:val="444444"/>
                <w:sz w:val="19"/>
                <w:szCs w:val="19"/>
              </w:rPr>
              <w:t xml:space="preserve">Below 2.00</w:t>
            </w:r>
          </w:p>
        </w:tc>
        <w:tc>
          <w:tcPr>
            <w:tcW w:type="dxa" w:w="4920"/>
            <w:tcMar>
              <w:top w:type="dxa" w:w="60"/>
              <w:left w:type="dxa" w:w="100"/>
              <w:bottom w:type="dxa" w:w="60"/>
              <w:right w:type="dxa" w:w="100"/>
            </w:tcMar>
          </w:tcPr>
          <w:p>
            <w:pPr>
              <w:spacing w:after="0" w:line="252"/>
              <w:jc w:val="center"/>
            </w:pPr>
            <w:r>
              <w:rPr>
                <w:b w:val="false"/>
                <w:bCs w:val="false"/>
                <w:color w:val="444444"/>
                <w:sz w:val="19"/>
                <w:szCs w:val="19"/>
              </w:rPr>
              <w:t xml:space="preserve">Unsatisfactory</w:t>
            </w:r>
          </w:p>
        </w:tc>
      </w:tr>
    </w:tbl>
    <w:p>
      <w:pPr>
        <w:pBdr>
          <w:bottom w:val="single" w:color="CFE3D6" w:sz="6"/>
        </w:pBdr>
        <w:spacing w:after="120" w:before="60"/>
      </w:pPr>
      <w:r>
        <w:rPr>
          <w:sz w:val="2"/>
          <w:szCs w:val="2"/>
        </w:rPr>
        <w:t xml:space="preserve"/>
      </w:r>
    </w:p>
    <w:p>
      <w:pPr>
        <w:pStyle w:val="Heading1"/>
        <w:spacing w:after="140" w:before="320"/>
      </w:pPr>
      <w:r>
        <w:rPr>
          <w:b/>
          <w:bCs/>
          <w:color w:val="127A41"/>
          <w:sz w:val="30"/>
          <w:szCs w:val="30"/>
        </w:rPr>
        <w:t xml:space="preserve">9. 360 Assessment Module</w:t>
      </w:r>
    </w:p>
    <w:p>
      <w:pPr>
        <w:pStyle w:val="Heading3"/>
        <w:spacing w:after="70" w:before="160"/>
      </w:pPr>
      <w:r>
        <w:rPr>
          <w:b/>
          <w:bCs/>
          <w:color w:val="444444"/>
          <w:sz w:val="21"/>
          <w:szCs w:val="21"/>
        </w:rPr>
        <w:t xml:space="preserve">9.1 Cycle</w:t>
      </w:r>
    </w:p>
    <w:p>
      <w:pPr>
        <w:pStyle w:val="ListParagraph"/>
        <w:numPr>
          <w:ilvl w:val="0"/>
          <w:numId w:val="2"/>
        </w:numPr>
        <w:spacing w:after="50" w:line="268"/>
      </w:pPr>
      <w:r>
        <w:rPr>
          <w:color w:val="444444"/>
          <w:sz w:val="20"/>
          <w:szCs w:val="20"/>
        </w:rPr>
        <w:t xml:space="preserve">Create a 360 cycle linked to the KPI assessment year, so 360 and KPI scores tie to the same performance year. Runs annually.</w:t>
      </w:r>
    </w:p>
    <w:p>
      <w:pPr>
        <w:pStyle w:val="Heading3"/>
        <w:spacing w:after="70" w:before="160"/>
      </w:pPr>
      <w:r>
        <w:rPr>
          <w:b/>
          <w:bCs/>
          <w:color w:val="444444"/>
          <w:sz w:val="21"/>
          <w:szCs w:val="21"/>
        </w:rPr>
        <w:t xml:space="preserve">9.2 Assessment types &amp; templates</w:t>
      </w:r>
    </w:p>
    <w:p>
      <w:pPr>
        <w:spacing w:after="90" w:line="276"/>
      </w:pPr>
      <w:r>
        <w:rPr>
          <w:color w:val="444444"/>
          <w:sz w:val="20"/>
          <w:szCs w:val="20"/>
        </w:rPr>
        <w:t xml:space="preserve">Three assessment types, each with its own question template:</w:t>
      </w:r>
    </w:p>
    <w:p>
      <w:pPr>
        <w:pStyle w:val="ListParagraph"/>
        <w:numPr>
          <w:ilvl w:val="0"/>
          <w:numId w:val="2"/>
        </w:numPr>
        <w:spacing w:after="50" w:line="268"/>
      </w:pPr>
      <w:r>
        <w:rPr>
          <w:b/>
          <w:bCs/>
          <w:color w:val="444444"/>
          <w:sz w:val="20"/>
          <w:szCs w:val="20"/>
        </w:rPr>
        <w:t xml:space="preserve">Line Manager → Employee</w:t>
      </w:r>
    </w:p>
    <w:p>
      <w:pPr>
        <w:pStyle w:val="ListParagraph"/>
        <w:numPr>
          <w:ilvl w:val="0"/>
          <w:numId w:val="2"/>
        </w:numPr>
        <w:spacing w:after="50" w:line="268"/>
      </w:pPr>
      <w:r>
        <w:rPr>
          <w:b/>
          <w:bCs/>
          <w:color w:val="444444"/>
          <w:sz w:val="20"/>
          <w:szCs w:val="20"/>
        </w:rPr>
        <w:t xml:space="preserve">Employee → Line Manager</w:t>
      </w:r>
      <w:r>
        <w:rPr>
          <w:color w:val="444444"/>
          <w:sz w:val="20"/>
          <w:szCs w:val="20"/>
        </w:rPr>
        <w:t xml:space="preserve"> (a reportee assessing their manager uses this template; employee = reportee)</w:t>
      </w:r>
    </w:p>
    <w:p>
      <w:pPr>
        <w:pStyle w:val="ListParagraph"/>
        <w:numPr>
          <w:ilvl w:val="0"/>
          <w:numId w:val="2"/>
        </w:numPr>
        <w:spacing w:after="50" w:line="268"/>
      </w:pPr>
      <w:r>
        <w:rPr>
          <w:b/>
          <w:bCs/>
          <w:color w:val="444444"/>
          <w:sz w:val="20"/>
          <w:szCs w:val="20"/>
        </w:rPr>
        <w:t xml:space="preserve">Peer → Peer</w:t>
      </w:r>
    </w:p>
    <w:p>
      <w:pPr>
        <w:spacing w:after="90" w:line="276"/>
      </w:pPr>
      <w:r>
        <w:rPr>
          <w:color w:val="444444"/>
          <w:sz w:val="20"/>
          <w:szCs w:val="20"/>
        </w:rPr>
        <w:t xml:space="preserve">Each template contains scored questions plus open-ended feedback questions.</w:t>
      </w:r>
    </w:p>
    <w:p>
      <w:pPr>
        <w:pStyle w:val="Heading3"/>
        <w:spacing w:after="70" w:before="160"/>
      </w:pPr>
      <w:r>
        <w:rPr>
          <w:b/>
          <w:bCs/>
          <w:color w:val="444444"/>
          <w:sz w:val="21"/>
          <w:szCs w:val="21"/>
        </w:rPr>
        <w:t xml:space="preserve">9.3 Scoring scale (per question)</w:t>
      </w:r>
    </w:p>
    <w:p>
      <w:pPr>
        <w:spacing w:after="90" w:line="276"/>
      </w:pPr>
      <w:r>
        <w:rPr>
          <w:color w:val="444444"/>
          <w:sz w:val="20"/>
          <w:szCs w:val="20"/>
        </w:rPr>
        <w:t xml:space="preserve">4-point forced scale (no neutral midpoint): Strongly Disagree = 1, Disagree = 2, Agree = 3, Strongly Agree = 4.</w:t>
      </w:r>
    </w:p>
    <w:p>
      <w:pPr>
        <w:pStyle w:val="Heading3"/>
        <w:spacing w:after="70" w:before="160"/>
      </w:pPr>
      <w:r>
        <w:rPr>
          <w:b/>
          <w:bCs/>
          <w:color w:val="444444"/>
          <w:sz w:val="21"/>
          <w:szCs w:val="21"/>
        </w:rPr>
        <w:t xml:space="preserve">9.4 Raters — exactly 3 per employee</w:t>
      </w:r>
    </w:p>
    <w:p>
      <w:pPr>
        <w:pStyle w:val="ListParagraph"/>
        <w:numPr>
          <w:ilvl w:val="0"/>
          <w:numId w:val="3"/>
        </w:numPr>
        <w:spacing w:after="50" w:line="268"/>
      </w:pPr>
      <w:r>
        <w:rPr>
          <w:b/>
          <w:bCs/>
          <w:color w:val="444444"/>
          <w:sz w:val="20"/>
          <w:szCs w:val="20"/>
        </w:rPr>
        <w:t xml:space="preserve">Line manager</w:t>
      </w:r>
      <w:r>
        <w:rPr>
          <w:color w:val="444444"/>
          <w:sz w:val="20"/>
          <w:szCs w:val="20"/>
        </w:rPr>
        <w:t xml:space="preserve"> — mandatory</w:t>
      </w:r>
    </w:p>
    <w:p>
      <w:pPr>
        <w:pStyle w:val="ListParagraph"/>
        <w:numPr>
          <w:ilvl w:val="0"/>
          <w:numId w:val="3"/>
        </w:numPr>
        <w:spacing w:after="50" w:line="268"/>
      </w:pPr>
      <w:r>
        <w:rPr>
          <w:b/>
          <w:bCs/>
          <w:color w:val="444444"/>
          <w:sz w:val="20"/>
          <w:szCs w:val="20"/>
        </w:rPr>
        <w:t xml:space="preserve">Peer</w:t>
      </w:r>
      <w:r>
        <w:rPr>
          <w:color w:val="444444"/>
          <w:sz w:val="20"/>
          <w:szCs w:val="20"/>
        </w:rPr>
        <w:t xml:space="preserve"> — mandatory (same department, or someone they worked with on a project)</w:t>
      </w:r>
    </w:p>
    <w:p>
      <w:pPr>
        <w:pStyle w:val="ListParagraph"/>
        <w:numPr>
          <w:ilvl w:val="0"/>
          <w:numId w:val="3"/>
        </w:numPr>
        <w:spacing w:after="50" w:line="268"/>
      </w:pPr>
      <w:r>
        <w:rPr>
          <w:b/>
          <w:bCs/>
          <w:color w:val="444444"/>
          <w:sz w:val="20"/>
          <w:szCs w:val="20"/>
        </w:rPr>
        <w:t xml:space="preserve">Third rater</w:t>
      </w:r>
      <w:r>
        <w:rPr>
          <w:color w:val="444444"/>
          <w:sz w:val="20"/>
          <w:szCs w:val="20"/>
        </w:rPr>
        <w:t xml:space="preserve"> — a direct reportee if available; otherwise a second peer</w:t>
      </w:r>
    </w:p>
    <w:p>
      <w:pPr>
        <w:pStyle w:val="ListParagraph"/>
        <w:numPr>
          <w:ilvl w:val="0"/>
          <w:numId w:val="2"/>
        </w:numPr>
        <w:spacing w:after="50" w:line="268"/>
      </w:pPr>
      <w:r>
        <w:rPr>
          <w:b/>
          <w:bCs/>
          <w:color w:val="444444"/>
          <w:sz w:val="20"/>
          <w:szCs w:val="20"/>
        </w:rPr>
        <w:t xml:space="preserve">HR selects and manages all rater assignments.</w:t>
      </w:r>
    </w:p>
    <w:p>
      <w:pPr>
        <w:pStyle w:val="Heading3"/>
        <w:spacing w:after="70" w:before="160"/>
      </w:pPr>
      <w:r>
        <w:rPr>
          <w:b/>
          <w:bCs/>
          <w:color w:val="444444"/>
          <w:sz w:val="21"/>
          <w:szCs w:val="21"/>
        </w:rPr>
        <w:t xml:space="preserve">9.5 Scoring mechanics (per employee)</w:t>
      </w:r>
    </w:p>
    <w:p>
      <w:pPr>
        <w:pStyle w:val="ListParagraph"/>
        <w:numPr>
          <w:ilvl w:val="0"/>
          <w:numId w:val="3"/>
        </w:numPr>
        <w:spacing w:after="50" w:line="268"/>
      </w:pPr>
      <w:r>
        <w:rPr>
          <w:color w:val="444444"/>
          <w:sz w:val="20"/>
          <w:szCs w:val="20"/>
        </w:rPr>
        <w:t xml:space="preserve">For each assessment: sum the answered question scores → actual score.</w:t>
      </w:r>
    </w:p>
    <w:p>
      <w:pPr>
        <w:pStyle w:val="ListParagraph"/>
        <w:numPr>
          <w:ilvl w:val="0"/>
          <w:numId w:val="3"/>
        </w:numPr>
        <w:spacing w:after="50" w:line="268"/>
      </w:pPr>
      <w:r>
        <w:rPr>
          <w:color w:val="444444"/>
          <w:sz w:val="20"/>
          <w:szCs w:val="20"/>
        </w:rPr>
        <w:t xml:space="preserve">Divide by that form's full/maximum possible score → a ratio (0–1).</w:t>
      </w:r>
    </w:p>
    <w:p>
      <w:pPr>
        <w:pStyle w:val="ListParagraph"/>
        <w:numPr>
          <w:ilvl w:val="0"/>
          <w:numId w:val="3"/>
        </w:numPr>
        <w:spacing w:after="50" w:line="268"/>
      </w:pPr>
      <w:r>
        <w:rPr>
          <w:color w:val="444444"/>
          <w:sz w:val="20"/>
          <w:szCs w:val="20"/>
        </w:rPr>
        <w:t xml:space="preserve">Average the 3 ratios → the employee's overall 360 ratio.</w:t>
      </w:r>
    </w:p>
    <w:p>
      <w:pPr>
        <w:pStyle w:val="ListParagraph"/>
        <w:numPr>
          <w:ilvl w:val="0"/>
          <w:numId w:val="3"/>
        </w:numPr>
        <w:spacing w:after="50" w:line="268"/>
      </w:pPr>
      <w:r>
        <w:rPr>
          <w:color w:val="444444"/>
          <w:sz w:val="20"/>
          <w:szCs w:val="20"/>
        </w:rPr>
        <w:t xml:space="preserve">Carry into the final formula as ratio × 5 (see §8.5).</w:t>
      </w:r>
    </w:p>
    <w:p>
      <w:pPr>
        <w:spacing w:after="40"/>
      </w:pPr>
      <w:r>
        <w:rPr>
          <w:sz w:val="2"/>
          <w:szCs w:val="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AF4EE" w:sz="2"/>
              <w:left w:val="single" w:color="1F9D55" w:sz="24"/>
              <w:bottom w:val="single" w:color="EAF4EE" w:sz="2"/>
              <w:right w:val="single" w:color="EAF4EE" w:sz="2"/>
            </w:tcBorders>
            <w:shd w:fill="EAF4EE" w:color="auto" w:val="clear"/>
            <w:tcMar>
              <w:top w:type="dxa" w:w="120"/>
              <w:left w:type="dxa" w:w="160"/>
              <w:bottom w:type="dxa" w:w="120"/>
              <w:right w:type="dxa" w:w="160"/>
            </w:tcMar>
          </w:tcPr>
          <w:p>
            <w:pPr>
              <w:spacing w:after="0" w:line="268"/>
            </w:pPr>
            <w:r>
              <w:rPr>
                <w:b/>
                <w:bCs/>
                <w:color w:val="127A41"/>
                <w:sz w:val="20"/>
                <w:szCs w:val="20"/>
              </w:rPr>
              <w:t xml:space="preserve">Worked example: </w:t>
            </w:r>
            <w:r>
              <w:rPr>
                <w:color w:val="127A41"/>
                <w:sz w:val="20"/>
                <w:szCs w:val="20"/>
              </w:rPr>
              <w:t xml:space="preserve">forms max = 96. Raw totals: LM→Emp 85, Emp→LM 96, Peer 84 → ratios 0.89, 1.00, 0.88 → average 0.92 → 0.92 × 5 = 4.60 into the formula.</w:t>
            </w:r>
          </w:p>
        </w:tc>
      </w:tr>
    </w:tbl>
    <w:p>
      <w:pPr>
        <w:spacing w:after="80"/>
      </w:pPr>
      <w:r>
        <w:rPr>
          <w:sz w:val="2"/>
          <w:szCs w:val="2"/>
        </w:rPr>
        <w:t xml:space="preserve"/>
      </w:r>
    </w:p>
    <w:p>
      <w:pPr>
        <w:pStyle w:val="Heading3"/>
        <w:spacing w:after="70" w:before="160"/>
      </w:pPr>
      <w:r>
        <w:rPr>
          <w:b/>
          <w:bCs/>
          <w:color w:val="444444"/>
          <w:sz w:val="21"/>
          <w:szCs w:val="21"/>
        </w:rPr>
        <w:t xml:space="preserve">9.6 Relationship mapping &amp; assignment</w:t>
      </w:r>
    </w:p>
    <w:p>
      <w:pPr>
        <w:pStyle w:val="ListParagraph"/>
        <w:numPr>
          <w:ilvl w:val="0"/>
          <w:numId w:val="2"/>
        </w:numPr>
        <w:spacing w:after="50" w:line="268"/>
      </w:pPr>
      <w:r>
        <w:rPr>
          <w:color w:val="444444"/>
          <w:sz w:val="20"/>
          <w:szCs w:val="20"/>
        </w:rPr>
        <w:t xml:space="preserve">Define employee relationships/mapping (manager, peer, reportee), then auto-generate assignments from the mapping.</w:t>
      </w:r>
    </w:p>
    <w:p>
      <w:pPr>
        <w:pStyle w:val="ListParagraph"/>
        <w:numPr>
          <w:ilvl w:val="0"/>
          <w:numId w:val="2"/>
        </w:numPr>
        <w:spacing w:after="50" w:line="268"/>
      </w:pPr>
      <w:r>
        <w:rPr>
          <w:b/>
          <w:bCs/>
          <w:color w:val="444444"/>
          <w:sz w:val="20"/>
          <w:szCs w:val="20"/>
        </w:rPr>
        <w:t xml:space="preserve">Projects (optional): </w:t>
      </w:r>
      <w:r>
        <w:rPr>
          <w:color w:val="444444"/>
          <w:sz w:val="20"/>
          <w:szCs w:val="20"/>
        </w:rPr>
        <w:t xml:space="preserve">ability to create projects and link employees, so peers can be drawn from shared project work. Not applicable to everyone. v1: projects added/linked manually. Future: link to the separate projects system being built.</w:t>
      </w:r>
    </w:p>
    <w:p>
      <w:pPr>
        <w:pStyle w:val="ListParagraph"/>
        <w:numPr>
          <w:ilvl w:val="0"/>
          <w:numId w:val="2"/>
        </w:numPr>
        <w:spacing w:after="50" w:line="268"/>
      </w:pPr>
      <w:r>
        <w:rPr>
          <w:color w:val="444444"/>
          <w:sz w:val="20"/>
          <w:szCs w:val="20"/>
        </w:rPr>
        <w:t xml:space="preserve">HR reviews and edits assignments before launch.</w:t>
      </w:r>
    </w:p>
    <w:p>
      <w:pPr>
        <w:pStyle w:val="Heading3"/>
        <w:spacing w:after="70" w:before="160"/>
      </w:pPr>
      <w:r>
        <w:rPr>
          <w:b/>
          <w:bCs/>
          <w:color w:val="444444"/>
          <w:sz w:val="21"/>
          <w:szCs w:val="21"/>
        </w:rPr>
        <w:t xml:space="preserve">9.7 Execution</w:t>
      </w:r>
    </w:p>
    <w:p>
      <w:pPr>
        <w:pStyle w:val="ListParagraph"/>
        <w:numPr>
          <w:ilvl w:val="0"/>
          <w:numId w:val="2"/>
        </w:numPr>
        <w:spacing w:after="50" w:line="268"/>
      </w:pPr>
      <w:r>
        <w:rPr>
          <w:color w:val="444444"/>
          <w:sz w:val="20"/>
          <w:szCs w:val="20"/>
        </w:rPr>
        <w:t xml:space="preserve">Publish/activate the cycle; send automated invitations.</w:t>
      </w:r>
    </w:p>
    <w:p>
      <w:pPr>
        <w:pStyle w:val="ListParagraph"/>
        <w:numPr>
          <w:ilvl w:val="0"/>
          <w:numId w:val="2"/>
        </w:numPr>
        <w:spacing w:after="50" w:line="268"/>
      </w:pPr>
      <w:r>
        <w:rPr>
          <w:color w:val="444444"/>
          <w:sz w:val="20"/>
          <w:szCs w:val="20"/>
        </w:rPr>
        <w:t xml:space="preserve">Status tracking per evaluator: Not Started / In Progress / Submitted / Overdue.</w:t>
      </w:r>
    </w:p>
    <w:p>
      <w:pPr>
        <w:pStyle w:val="ListParagraph"/>
        <w:numPr>
          <w:ilvl w:val="0"/>
          <w:numId w:val="2"/>
        </w:numPr>
        <w:spacing w:after="50" w:line="268"/>
      </w:pPr>
      <w:r>
        <w:rPr>
          <w:color w:val="444444"/>
          <w:sz w:val="20"/>
          <w:szCs w:val="20"/>
        </w:rPr>
        <w:t xml:space="preserve">Automated reminders before deadline.</w:t>
      </w:r>
    </w:p>
    <w:p>
      <w:pPr>
        <w:pStyle w:val="ListParagraph"/>
        <w:numPr>
          <w:ilvl w:val="0"/>
          <w:numId w:val="2"/>
        </w:numPr>
        <w:spacing w:after="50" w:line="268"/>
      </w:pPr>
      <w:r>
        <w:rPr>
          <w:color w:val="444444"/>
          <w:sz w:val="20"/>
          <w:szCs w:val="20"/>
        </w:rPr>
        <w:t xml:space="preserve">Evaluators complete and submit; prevent duplicate submissions per assignment; store responses securely.</w:t>
      </w:r>
    </w:p>
    <w:p>
      <w:pPr>
        <w:pStyle w:val="Heading3"/>
        <w:spacing w:after="70" w:before="160"/>
      </w:pPr>
      <w:r>
        <w:rPr>
          <w:b/>
          <w:bCs/>
          <w:color w:val="444444"/>
          <w:sz w:val="21"/>
          <w:szCs w:val="21"/>
        </w:rPr>
        <w:t xml:space="preserve">9.8 Results</w:t>
      </w:r>
    </w:p>
    <w:p>
      <w:pPr>
        <w:pStyle w:val="ListParagraph"/>
        <w:numPr>
          <w:ilvl w:val="0"/>
          <w:numId w:val="2"/>
        </w:numPr>
        <w:spacing w:after="50" w:line="268"/>
      </w:pPr>
      <w:r>
        <w:rPr>
          <w:color w:val="444444"/>
          <w:sz w:val="20"/>
          <w:szCs w:val="20"/>
        </w:rPr>
        <w:t xml:space="preserve">Calculate 360 score per employee (§9.5). Consolidate written comments per employee. Generate individual 360 reports. Link 360 results into the employee's final score.</w:t>
      </w:r>
    </w:p>
    <w:p>
      <w:pPr>
        <w:pBdr>
          <w:bottom w:val="single" w:color="CFE3D6" w:sz="6"/>
        </w:pBdr>
        <w:spacing w:after="120" w:before="60"/>
      </w:pPr>
      <w:r>
        <w:rPr>
          <w:sz w:val="2"/>
          <w:szCs w:val="2"/>
        </w:rPr>
        <w:t xml:space="preserve"/>
      </w:r>
    </w:p>
    <w:p>
      <w:pPr>
        <w:pStyle w:val="Heading1"/>
        <w:spacing w:after="140" w:before="320"/>
      </w:pPr>
      <w:r>
        <w:rPr>
          <w:b/>
          <w:bCs/>
          <w:color w:val="127A41"/>
          <w:sz w:val="30"/>
          <w:szCs w:val="30"/>
        </w:rPr>
        <w:t xml:space="preserve">10. Calibration / Bell Curve Layer</w:t>
      </w:r>
    </w:p>
    <w:p>
      <w:pPr>
        <w:pStyle w:val="Heading3"/>
        <w:spacing w:after="70" w:before="160"/>
      </w:pPr>
      <w:r>
        <w:rPr>
          <w:b/>
          <w:bCs/>
          <w:color w:val="444444"/>
          <w:sz w:val="21"/>
          <w:szCs w:val="21"/>
        </w:rPr>
        <w:t xml:space="preserve">10.1 Principle</w:t>
      </w:r>
    </w:p>
    <w:p>
      <w:pPr>
        <w:pStyle w:val="ListParagraph"/>
        <w:numPr>
          <w:ilvl w:val="0"/>
          <w:numId w:val="2"/>
        </w:numPr>
        <w:spacing w:after="50" w:line="268"/>
      </w:pPr>
      <w:r>
        <w:rPr>
          <w:color w:val="444444"/>
          <w:sz w:val="20"/>
          <w:szCs w:val="20"/>
        </w:rPr>
        <w:t xml:space="preserve">Calibration is a separate layer that never overwrites the raw score. Every employee always retains both a raw calculated score and a calibrated score, with full auditability.</w:t>
      </w:r>
    </w:p>
    <w:p>
      <w:pPr>
        <w:pStyle w:val="Heading3"/>
        <w:spacing w:after="70" w:before="160"/>
      </w:pPr>
      <w:r>
        <w:rPr>
          <w:b/>
          <w:bCs/>
          <w:color w:val="444444"/>
          <w:sz w:val="21"/>
          <w:szCs w:val="21"/>
        </w:rPr>
        <w:t xml:space="preserve">10.2 Target distribution</w:t>
      </w:r>
    </w:p>
    <w:p>
      <w:pPr>
        <w:pStyle w:val="ListParagraph"/>
        <w:numPr>
          <w:ilvl w:val="0"/>
          <w:numId w:val="2"/>
        </w:numPr>
        <w:spacing w:after="50" w:line="268"/>
      </w:pPr>
      <w:r>
        <w:rPr>
          <w:color w:val="444444"/>
          <w:sz w:val="20"/>
          <w:szCs w:val="20"/>
        </w:rPr>
        <w:t xml:space="preserve">HR Super Admin defines an editable target distribution across the five bands (what % should land in each band).</w:t>
      </w:r>
    </w:p>
    <w:p>
      <w:pPr>
        <w:pStyle w:val="Heading3"/>
        <w:spacing w:after="70" w:before="160"/>
      </w:pPr>
      <w:r>
        <w:rPr>
          <w:b/>
          <w:bCs/>
          <w:color w:val="444444"/>
          <w:sz w:val="21"/>
          <w:szCs w:val="21"/>
        </w:rPr>
        <w:t xml:space="preserve">10.3 Level of application</w:t>
      </w:r>
    </w:p>
    <w:p>
      <w:pPr>
        <w:pStyle w:val="ListParagraph"/>
        <w:numPr>
          <w:ilvl w:val="0"/>
          <w:numId w:val="2"/>
        </w:numPr>
        <w:spacing w:after="50" w:line="268"/>
      </w:pPr>
      <w:r>
        <w:rPr>
          <w:color w:val="444444"/>
          <w:sz w:val="20"/>
          <w:szCs w:val="20"/>
        </w:rPr>
        <w:t xml:space="preserve">Applied per department, but only to departments with ≥ 5 active employees in the cycle.</w:t>
      </w:r>
    </w:p>
    <w:p>
      <w:pPr>
        <w:pStyle w:val="ListParagraph"/>
        <w:numPr>
          <w:ilvl w:val="0"/>
          <w:numId w:val="2"/>
        </w:numPr>
        <w:spacing w:after="50" w:line="268"/>
      </w:pPr>
      <w:r>
        <w:rPr>
          <w:color w:val="444444"/>
          <w:sz w:val="20"/>
          <w:szCs w:val="20"/>
        </w:rPr>
        <w:t xml:space="preserve">The threshold (5) is an editable setting controlled by HR Super Admin.</w:t>
      </w:r>
    </w:p>
    <w:p>
      <w:pPr>
        <w:pStyle w:val="ListParagraph"/>
        <w:numPr>
          <w:ilvl w:val="0"/>
          <w:numId w:val="2"/>
        </w:numPr>
        <w:spacing w:after="50" w:line="268"/>
      </w:pPr>
      <w:r>
        <w:rPr>
          <w:b/>
          <w:bCs/>
          <w:color w:val="444444"/>
          <w:sz w:val="20"/>
          <w:szCs w:val="20"/>
        </w:rPr>
        <w:t xml:space="preserve">Sub-5 departments: </w:t>
      </w:r>
      <w:r>
        <w:rPr>
          <w:color w:val="444444"/>
          <w:sz w:val="20"/>
          <w:szCs w:val="20"/>
        </w:rPr>
        <w:t xml:space="preserve">keep their raw scores as final (no forced shape); HR manual-override still available.</w:t>
      </w:r>
    </w:p>
    <w:p>
      <w:pPr>
        <w:pStyle w:val="Heading3"/>
        <w:spacing w:after="70" w:before="160"/>
      </w:pPr>
      <w:r>
        <w:rPr>
          <w:b/>
          <w:bCs/>
          <w:color w:val="444444"/>
          <w:sz w:val="21"/>
          <w:szCs w:val="21"/>
        </w:rPr>
        <w:t xml:space="preserve">10.4 Guided, not forced</w:t>
      </w:r>
    </w:p>
    <w:p>
      <w:pPr>
        <w:pStyle w:val="ListParagraph"/>
        <w:numPr>
          <w:ilvl w:val="0"/>
          <w:numId w:val="2"/>
        </w:numPr>
        <w:spacing w:after="50" w:line="268"/>
      </w:pPr>
      <w:r>
        <w:rPr>
          <w:color w:val="444444"/>
          <w:sz w:val="20"/>
          <w:szCs w:val="20"/>
        </w:rPr>
        <w:t xml:space="preserve">Calibration is guided: the system shows HR the target distribution vs. actual raw distribution, highlights the gap, and HR moves individuals using judgment. It does not mathematically force people into bands.</w:t>
      </w:r>
    </w:p>
    <w:p>
      <w:pPr>
        <w:pStyle w:val="Heading3"/>
        <w:spacing w:after="70" w:before="160"/>
      </w:pPr>
      <w:r>
        <w:rPr>
          <w:b/>
          <w:bCs/>
          <w:color w:val="444444"/>
          <w:sz w:val="21"/>
          <w:szCs w:val="21"/>
        </w:rPr>
        <w:t xml:space="preserve">10.5 Manual override</w:t>
      </w:r>
    </w:p>
    <w:p>
      <w:pPr>
        <w:pStyle w:val="ListParagraph"/>
        <w:numPr>
          <w:ilvl w:val="0"/>
          <w:numId w:val="2"/>
        </w:numPr>
        <w:spacing w:after="50" w:line="268"/>
      </w:pPr>
      <w:r>
        <w:rPr>
          <w:color w:val="444444"/>
          <w:sz w:val="20"/>
          <w:szCs w:val="20"/>
        </w:rPr>
        <w:t xml:space="preserve">HR manual-override is available on every department (curved or not) and on any individual.</w:t>
      </w:r>
    </w:p>
    <w:p>
      <w:pPr>
        <w:pStyle w:val="ListParagraph"/>
        <w:numPr>
          <w:ilvl w:val="0"/>
          <w:numId w:val="2"/>
        </w:numPr>
        <w:spacing w:after="50" w:line="268"/>
      </w:pPr>
      <w:r>
        <w:rPr>
          <w:color w:val="444444"/>
          <w:sz w:val="20"/>
          <w:szCs w:val="20"/>
        </w:rPr>
        <w:t xml:space="preserve">Every override/adjustment is audited: who, from-score, to-score, when, and a mandatory reason.</w:t>
      </w:r>
    </w:p>
    <w:p>
      <w:pPr>
        <w:pStyle w:val="Heading3"/>
        <w:spacing w:after="70" w:before="160"/>
      </w:pPr>
      <w:r>
        <w:rPr>
          <w:b/>
          <w:bCs/>
          <w:color w:val="444444"/>
          <w:sz w:val="21"/>
          <w:szCs w:val="21"/>
        </w:rPr>
        <w:t xml:space="preserve">10.6 Authority</w:t>
      </w:r>
    </w:p>
    <w:p>
      <w:pPr>
        <w:pStyle w:val="ListParagraph"/>
        <w:numPr>
          <w:ilvl w:val="0"/>
          <w:numId w:val="2"/>
        </w:numPr>
        <w:spacing w:after="50" w:line="268"/>
      </w:pPr>
      <w:r>
        <w:rPr>
          <w:color w:val="444444"/>
          <w:sz w:val="20"/>
          <w:szCs w:val="20"/>
        </w:rPr>
        <w:t xml:space="preserve">Only HR Super Admin performs calibration adjustments and overrides (and defines the target distribution). HRBP does not touch calibration.</w:t>
      </w:r>
    </w:p>
    <w:p>
      <w:pPr>
        <w:pStyle w:val="Heading3"/>
        <w:spacing w:after="70" w:before="160"/>
      </w:pPr>
      <w:r>
        <w:rPr>
          <w:b/>
          <w:bCs/>
          <w:color w:val="444444"/>
          <w:sz w:val="21"/>
          <w:szCs w:val="21"/>
        </w:rPr>
        <w:t xml:space="preserve">10.7 Sequencing (gate)</w:t>
      </w:r>
    </w:p>
    <w:p>
      <w:pPr>
        <w:spacing w:after="90" w:line="276"/>
      </w:pPr>
      <w:r>
        <w:rPr>
          <w:color w:val="444444"/>
          <w:sz w:val="20"/>
          <w:szCs w:val="20"/>
        </w:rPr>
        <w:t xml:space="preserve">Calibration is a distinct gate between "all assessments locked" and "results released":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AF4EE" w:sz="2"/>
              <w:left w:val="single" w:color="1F9D55" w:sz="24"/>
              <w:bottom w:val="single" w:color="EAF4EE" w:sz="2"/>
              <w:right w:val="single" w:color="EAF4EE" w:sz="2"/>
            </w:tcBorders>
            <w:shd w:fill="EAF4EE" w:color="auto" w:val="clear"/>
            <w:tcMar>
              <w:top w:type="dxa" w:w="120"/>
              <w:left w:type="dxa" w:w="160"/>
              <w:bottom w:type="dxa" w:w="120"/>
              <w:right w:type="dxa" w:w="160"/>
            </w:tcMar>
          </w:tcPr>
          <w:p>
            <w:pPr>
              <w:spacing w:after="0" w:line="268"/>
            </w:pPr>
            <w:r>
              <w:rPr>
                <w:b/>
                <w:bCs/>
                <w:color w:val="127A41"/>
                <w:sz w:val="20"/>
                <w:szCs w:val="20"/>
              </w:rPr>
              <w:t xml:space="preserve">Assessments completed &amp; signed → raw scores calculated (all) → HR Super Admin calibration gate → calibrated scores finalized → results published → feeds bonus</w:t>
            </w:r>
          </w:p>
        </w:tc>
      </w:tr>
    </w:tbl>
    <w:p>
      <w:pPr>
        <w:spacing w:after="60"/>
      </w:pPr>
      <w:r>
        <w:rPr>
          <w:sz w:val="2"/>
          <w:szCs w:val="2"/>
        </w:rPr>
        <w:t xml:space="preserve"/>
      </w:r>
    </w:p>
    <w:p>
      <w:pPr>
        <w:pStyle w:val="ListParagraph"/>
        <w:numPr>
          <w:ilvl w:val="0"/>
          <w:numId w:val="2"/>
        </w:numPr>
        <w:spacing w:after="50" w:line="268"/>
      </w:pPr>
      <w:r>
        <w:rPr>
          <w:color w:val="444444"/>
          <w:sz w:val="20"/>
          <w:szCs w:val="20"/>
        </w:rPr>
        <w:t xml:space="preserve">No calibration until all raw scores are in. No release until calibration is done.</w:t>
      </w:r>
    </w:p>
    <w:p>
      <w:pPr>
        <w:pBdr>
          <w:bottom w:val="single" w:color="CFE3D6" w:sz="6"/>
        </w:pBdr>
        <w:spacing w:after="120" w:before="60"/>
      </w:pPr>
      <w:r>
        <w:rPr>
          <w:sz w:val="2"/>
          <w:szCs w:val="2"/>
        </w:rPr>
        <w:t xml:space="preserve"/>
      </w:r>
    </w:p>
    <w:p>
      <w:pPr>
        <w:pStyle w:val="Heading1"/>
        <w:spacing w:after="140" w:before="320"/>
      </w:pPr>
      <w:r>
        <w:rPr>
          <w:b/>
          <w:bCs/>
          <w:color w:val="127A41"/>
          <w:sz w:val="30"/>
          <w:szCs w:val="30"/>
        </w:rPr>
        <w:t xml:space="preserve">11. Bonus</w:t>
      </w:r>
    </w:p>
    <w:p>
      <w:pPr>
        <w:pStyle w:val="Heading3"/>
        <w:spacing w:after="70" w:before="160"/>
      </w:pPr>
      <w:r>
        <w:rPr>
          <w:b/>
          <w:bCs/>
          <w:color w:val="444444"/>
          <w:sz w:val="21"/>
          <w:szCs w:val="21"/>
        </w:rPr>
        <w:t xml:space="preserve">11.1 Participation vs. eligibility</w:t>
      </w:r>
    </w:p>
    <w:p>
      <w:pPr>
        <w:pStyle w:val="ListParagraph"/>
        <w:numPr>
          <w:ilvl w:val="0"/>
          <w:numId w:val="2"/>
        </w:numPr>
        <w:spacing w:after="50" w:line="268"/>
      </w:pPr>
      <w:r>
        <w:rPr>
          <w:color w:val="444444"/>
          <w:sz w:val="20"/>
          <w:szCs w:val="20"/>
        </w:rPr>
        <w:t xml:space="preserve">All employees participate in KPIs regardless of when they join the cycle.</w:t>
      </w:r>
    </w:p>
    <w:p>
      <w:pPr>
        <w:pStyle w:val="ListParagraph"/>
        <w:numPr>
          <w:ilvl w:val="0"/>
          <w:numId w:val="2"/>
        </w:numPr>
        <w:spacing w:after="50" w:line="268"/>
      </w:pPr>
      <w:r>
        <w:rPr>
          <w:color w:val="444444"/>
          <w:sz w:val="20"/>
          <w:szCs w:val="20"/>
        </w:rPr>
        <w:t xml:space="preserve">Not everyone is bonus-eligible.</w:t>
      </w:r>
    </w:p>
    <w:p>
      <w:pPr>
        <w:pStyle w:val="Heading3"/>
        <w:spacing w:after="70" w:before="160"/>
      </w:pPr>
      <w:r>
        <w:rPr>
          <w:b/>
          <w:bCs/>
          <w:color w:val="444444"/>
          <w:sz w:val="21"/>
          <w:szCs w:val="21"/>
        </w:rPr>
        <w:t xml:space="preserve">11.2 Eligibility gate</w:t>
      </w:r>
    </w:p>
    <w:p>
      <w:pPr>
        <w:pStyle w:val="ListParagraph"/>
        <w:numPr>
          <w:ilvl w:val="0"/>
          <w:numId w:val="2"/>
        </w:numPr>
        <w:spacing w:after="50" w:line="268"/>
      </w:pPr>
      <w:r>
        <w:rPr>
          <w:color w:val="444444"/>
          <w:sz w:val="20"/>
          <w:szCs w:val="20"/>
        </w:rPr>
        <w:t xml:space="preserve">≥ 6 months of effective service in the cycle → eligible. Below → assessed and scored, but no bonus.</w:t>
      </w:r>
    </w:p>
    <w:p>
      <w:pPr>
        <w:pStyle w:val="ListParagraph"/>
        <w:numPr>
          <w:ilvl w:val="0"/>
          <w:numId w:val="2"/>
        </w:numPr>
        <w:spacing w:after="50" w:line="268"/>
      </w:pPr>
      <w:r>
        <w:rPr>
          <w:color w:val="444444"/>
          <w:sz w:val="20"/>
          <w:szCs w:val="20"/>
        </w:rPr>
        <w:t xml:space="preserve">The gate is measured in calendar months from the employee's Date of Joining, net of unpaid leave (unpaid leave reduces effective service — see §11.5).</w:t>
      </w:r>
    </w:p>
    <w:p>
      <w:pPr>
        <w:pStyle w:val="Heading3"/>
        <w:spacing w:after="70" w:before="160"/>
      </w:pPr>
      <w:r>
        <w:rPr>
          <w:b/>
          <w:bCs/>
          <w:color w:val="444444"/>
          <w:sz w:val="21"/>
          <w:szCs w:val="21"/>
        </w:rPr>
        <w:t xml:space="preserve">11.3 Entitlement — band coefficient on basic salary</w:t>
      </w:r>
    </w:p>
    <w:tbl>
      <w:tblPr>
        <w:tblW w:type="dxa" w:w="9840"/>
        <w:tblBorders>
          <w:top w:val="single" w:color="CFE3D6" w:sz="4"/>
          <w:left w:val="single" w:color="CFE3D6" w:sz="4"/>
          <w:bottom w:val="single" w:color="CFE3D6" w:sz="4"/>
          <w:right w:val="single" w:color="CFE3D6" w:sz="4"/>
          <w:insideH w:val="single" w:color="CFE3D6" w:sz="4"/>
          <w:insideV w:val="single" w:color="CFE3D6" w:sz="4"/>
        </w:tblBorders>
      </w:tblPr>
      <w:tblGrid>
        <w:gridCol w:w="4920"/>
        <w:gridCol w:w="4920"/>
      </w:tblGrid>
      <w:tr>
        <w:trPr>
          <w:tblHeader/>
        </w:trPr>
        <w:tc>
          <w:tcPr>
            <w:tcW w:type="dxa" w:w="4920"/>
            <w:shd w:fill="1F9D55" w:color="auto" w:val="clear"/>
            <w:tcMar>
              <w:top w:type="dxa" w:w="60"/>
              <w:left w:type="dxa" w:w="100"/>
              <w:bottom w:type="dxa" w:w="60"/>
              <w:right w:type="dxa" w:w="100"/>
            </w:tcMar>
          </w:tcPr>
          <w:p>
            <w:pPr>
              <w:spacing w:after="0" w:line="252"/>
              <w:jc w:val="left"/>
            </w:pPr>
            <w:r>
              <w:rPr>
                <w:b/>
                <w:bCs/>
                <w:color w:val="FFFFFF"/>
                <w:sz w:val="19"/>
                <w:szCs w:val="19"/>
              </w:rPr>
              <w:t xml:space="preserve">Band</w:t>
            </w:r>
          </w:p>
        </w:tc>
        <w:tc>
          <w:tcPr>
            <w:tcW w:type="dxa" w:w="4920"/>
            <w:shd w:fill="1F9D55" w:color="auto" w:val="clear"/>
            <w:tcMar>
              <w:top w:type="dxa" w:w="60"/>
              <w:left w:type="dxa" w:w="100"/>
              <w:bottom w:type="dxa" w:w="60"/>
              <w:right w:type="dxa" w:w="100"/>
            </w:tcMar>
          </w:tcPr>
          <w:p>
            <w:pPr>
              <w:spacing w:after="0" w:line="252"/>
              <w:jc w:val="center"/>
            </w:pPr>
            <w:r>
              <w:rPr>
                <w:b/>
                <w:bCs/>
                <w:color w:val="FFFFFF"/>
                <w:sz w:val="19"/>
                <w:szCs w:val="19"/>
              </w:rPr>
              <w:t xml:space="preserve">Coefficient (× basic salary)</w:t>
            </w:r>
          </w:p>
        </w:tc>
      </w:tr>
      <w:tr>
        <w:tc>
          <w:tcPr>
            <w:tcW w:type="dxa" w:w="4920"/>
            <w:tcMar>
              <w:top w:type="dxa" w:w="60"/>
              <w:left w:type="dxa" w:w="100"/>
              <w:bottom w:type="dxa" w:w="60"/>
              <w:right w:type="dxa" w:w="100"/>
            </w:tcMar>
          </w:tcPr>
          <w:p>
            <w:pPr>
              <w:spacing w:after="0" w:line="252"/>
              <w:jc w:val="left"/>
            </w:pPr>
            <w:r>
              <w:rPr>
                <w:b w:val="false"/>
                <w:bCs w:val="false"/>
                <w:color w:val="444444"/>
                <w:sz w:val="19"/>
                <w:szCs w:val="19"/>
              </w:rPr>
              <w:t xml:space="preserve">Outstanding</w:t>
            </w:r>
          </w:p>
        </w:tc>
        <w:tc>
          <w:tcPr>
            <w:tcW w:type="dxa" w:w="4920"/>
            <w:tcMar>
              <w:top w:type="dxa" w:w="60"/>
              <w:left w:type="dxa" w:w="100"/>
              <w:bottom w:type="dxa" w:w="60"/>
              <w:right w:type="dxa" w:w="100"/>
            </w:tcMar>
          </w:tcPr>
          <w:p>
            <w:pPr>
              <w:spacing w:after="0" w:line="252"/>
              <w:jc w:val="center"/>
            </w:pPr>
            <w:r>
              <w:rPr>
                <w:b w:val="false"/>
                <w:bCs w:val="false"/>
                <w:color w:val="444444"/>
                <w:sz w:val="19"/>
                <w:szCs w:val="19"/>
              </w:rPr>
              <w:t xml:space="preserve">2.0</w:t>
            </w:r>
          </w:p>
        </w:tc>
      </w:tr>
      <w:tr>
        <w:tc>
          <w:tcPr>
            <w:tcW w:type="dxa" w:w="4920"/>
            <w:shd w:fill="F2F5F3" w:color="auto" w:val="clear"/>
            <w:tcMar>
              <w:top w:type="dxa" w:w="60"/>
              <w:left w:type="dxa" w:w="100"/>
              <w:bottom w:type="dxa" w:w="60"/>
              <w:right w:type="dxa" w:w="100"/>
            </w:tcMar>
          </w:tcPr>
          <w:p>
            <w:pPr>
              <w:spacing w:after="0" w:line="252"/>
              <w:jc w:val="left"/>
            </w:pPr>
            <w:r>
              <w:rPr>
                <w:b w:val="false"/>
                <w:bCs w:val="false"/>
                <w:color w:val="444444"/>
                <w:sz w:val="19"/>
                <w:szCs w:val="19"/>
              </w:rPr>
              <w:t xml:space="preserve">Excellent</w:t>
            </w:r>
          </w:p>
        </w:tc>
        <w:tc>
          <w:tcPr>
            <w:tcW w:type="dxa" w:w="492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1.5</w:t>
            </w:r>
          </w:p>
        </w:tc>
      </w:tr>
      <w:tr>
        <w:tc>
          <w:tcPr>
            <w:tcW w:type="dxa" w:w="4920"/>
            <w:tcMar>
              <w:top w:type="dxa" w:w="60"/>
              <w:left w:type="dxa" w:w="100"/>
              <w:bottom w:type="dxa" w:w="60"/>
              <w:right w:type="dxa" w:w="100"/>
            </w:tcMar>
          </w:tcPr>
          <w:p>
            <w:pPr>
              <w:spacing w:after="0" w:line="252"/>
              <w:jc w:val="left"/>
            </w:pPr>
            <w:r>
              <w:rPr>
                <w:b w:val="false"/>
                <w:bCs w:val="false"/>
                <w:color w:val="444444"/>
                <w:sz w:val="19"/>
                <w:szCs w:val="19"/>
              </w:rPr>
              <w:t xml:space="preserve">Target</w:t>
            </w:r>
          </w:p>
        </w:tc>
        <w:tc>
          <w:tcPr>
            <w:tcW w:type="dxa" w:w="4920"/>
            <w:tcMar>
              <w:top w:type="dxa" w:w="60"/>
              <w:left w:type="dxa" w:w="100"/>
              <w:bottom w:type="dxa" w:w="60"/>
              <w:right w:type="dxa" w:w="100"/>
            </w:tcMar>
          </w:tcPr>
          <w:p>
            <w:pPr>
              <w:spacing w:after="0" w:line="252"/>
              <w:jc w:val="center"/>
            </w:pPr>
            <w:r>
              <w:rPr>
                <w:b w:val="false"/>
                <w:bCs w:val="false"/>
                <w:color w:val="444444"/>
                <w:sz w:val="19"/>
                <w:szCs w:val="19"/>
              </w:rPr>
              <w:t xml:space="preserve">1.0</w:t>
            </w:r>
          </w:p>
        </w:tc>
      </w:tr>
      <w:tr>
        <w:tc>
          <w:tcPr>
            <w:tcW w:type="dxa" w:w="4920"/>
            <w:shd w:fill="F2F5F3" w:color="auto" w:val="clear"/>
            <w:tcMar>
              <w:top w:type="dxa" w:w="60"/>
              <w:left w:type="dxa" w:w="100"/>
              <w:bottom w:type="dxa" w:w="60"/>
              <w:right w:type="dxa" w:w="100"/>
            </w:tcMar>
          </w:tcPr>
          <w:p>
            <w:pPr>
              <w:spacing w:after="0" w:line="252"/>
              <w:jc w:val="left"/>
            </w:pPr>
            <w:r>
              <w:rPr>
                <w:b w:val="false"/>
                <w:bCs w:val="false"/>
                <w:color w:val="444444"/>
                <w:sz w:val="19"/>
                <w:szCs w:val="19"/>
              </w:rPr>
              <w:t xml:space="preserve">Almost Achieved</w:t>
            </w:r>
          </w:p>
        </w:tc>
        <w:tc>
          <w:tcPr>
            <w:tcW w:type="dxa" w:w="4920"/>
            <w:shd w:fill="F2F5F3" w:color="auto" w:val="clear"/>
            <w:tcMar>
              <w:top w:type="dxa" w:w="60"/>
              <w:left w:type="dxa" w:w="100"/>
              <w:bottom w:type="dxa" w:w="60"/>
              <w:right w:type="dxa" w:w="100"/>
            </w:tcMar>
          </w:tcPr>
          <w:p>
            <w:pPr>
              <w:spacing w:after="0" w:line="252"/>
              <w:jc w:val="center"/>
            </w:pPr>
            <w:r>
              <w:rPr>
                <w:b w:val="false"/>
                <w:bCs w:val="false"/>
                <w:color w:val="444444"/>
                <w:sz w:val="19"/>
                <w:szCs w:val="19"/>
              </w:rPr>
              <w:t xml:space="preserve">0</w:t>
            </w:r>
          </w:p>
        </w:tc>
      </w:tr>
      <w:tr>
        <w:tc>
          <w:tcPr>
            <w:tcW w:type="dxa" w:w="4920"/>
            <w:tcMar>
              <w:top w:type="dxa" w:w="60"/>
              <w:left w:type="dxa" w:w="100"/>
              <w:bottom w:type="dxa" w:w="60"/>
              <w:right w:type="dxa" w:w="100"/>
            </w:tcMar>
          </w:tcPr>
          <w:p>
            <w:pPr>
              <w:spacing w:after="0" w:line="252"/>
              <w:jc w:val="left"/>
            </w:pPr>
            <w:r>
              <w:rPr>
                <w:b w:val="false"/>
                <w:bCs w:val="false"/>
                <w:color w:val="444444"/>
                <w:sz w:val="19"/>
                <w:szCs w:val="19"/>
              </w:rPr>
              <w:t xml:space="preserve">Unsatisfactory</w:t>
            </w:r>
          </w:p>
        </w:tc>
        <w:tc>
          <w:tcPr>
            <w:tcW w:type="dxa" w:w="4920"/>
            <w:tcMar>
              <w:top w:type="dxa" w:w="60"/>
              <w:left w:type="dxa" w:w="100"/>
              <w:bottom w:type="dxa" w:w="60"/>
              <w:right w:type="dxa" w:w="100"/>
            </w:tcMar>
          </w:tcPr>
          <w:p>
            <w:pPr>
              <w:spacing w:after="0" w:line="252"/>
              <w:jc w:val="center"/>
            </w:pPr>
            <w:r>
              <w:rPr>
                <w:b w:val="false"/>
                <w:bCs w:val="false"/>
                <w:color w:val="444444"/>
                <w:sz w:val="19"/>
                <w:szCs w:val="19"/>
              </w:rPr>
              <w:t xml:space="preserve">0</w:t>
            </w:r>
          </w:p>
        </w:tc>
      </w:tr>
    </w:tbl>
    <w:p>
      <w:pPr>
        <w:spacing w:after="80"/>
      </w:pPr>
      <w:r>
        <w:rPr>
          <w:sz w:val="2"/>
          <w:szCs w:val="2"/>
        </w:rPr>
        <w:t xml:space="preserve"/>
      </w:r>
    </w:p>
    <w:p>
      <w:pPr>
        <w:pStyle w:val="ListParagraph"/>
        <w:numPr>
          <w:ilvl w:val="0"/>
          <w:numId w:val="2"/>
        </w:numPr>
        <w:spacing w:after="50" w:line="268"/>
      </w:pPr>
      <w:r>
        <w:rPr>
          <w:color w:val="444444"/>
          <w:sz w:val="20"/>
          <w:szCs w:val="20"/>
        </w:rPr>
        <w:t xml:space="preserve">Bonus is always computed from the calibrated (post-curve) band, never the raw band.</w:t>
      </w:r>
    </w:p>
    <w:p>
      <w:pPr>
        <w:pStyle w:val="Heading3"/>
        <w:spacing w:after="70" w:before="160"/>
      </w:pPr>
      <w:r>
        <w:rPr>
          <w:b/>
          <w:bCs/>
          <w:color w:val="444444"/>
          <w:sz w:val="21"/>
          <w:szCs w:val="21"/>
        </w:rPr>
        <w:t xml:space="preserve">11.4 Pro-ration (Model 1 — from start date)</w:t>
      </w:r>
    </w:p>
    <w:p>
      <w:pPr>
        <w:pStyle w:val="ListParagraph"/>
        <w:numPr>
          <w:ilvl w:val="0"/>
          <w:numId w:val="2"/>
        </w:numPr>
        <w:spacing w:after="50" w:line="268"/>
      </w:pPr>
      <w:r>
        <w:rPr>
          <w:color w:val="444444"/>
          <w:sz w:val="20"/>
          <w:szCs w:val="20"/>
        </w:rPr>
        <w:t xml:space="preserve">The 6-month gate is purely the eligibility gate. Once cleared, the employee is pro-rated over all days actually worked.</w:t>
      </w:r>
    </w:p>
    <w:p>
      <w:pPr>
        <w:pStyle w:val="ListParagraph"/>
        <w:numPr>
          <w:ilvl w:val="0"/>
          <w:numId w:val="2"/>
        </w:numPr>
        <w:spacing w:after="50" w:line="268"/>
      </w:pPr>
      <w:r>
        <w:rPr>
          <w:color w:val="444444"/>
          <w:sz w:val="20"/>
          <w:szCs w:val="20"/>
        </w:rPr>
        <w:t xml:space="preserve">Basis: calendar days, matching payroll's ÷365 convention.</w:t>
      </w:r>
    </w:p>
    <w:p>
      <w:pPr>
        <w:spacing w:after="40"/>
      </w:pPr>
      <w:r>
        <w:rPr>
          <w:sz w:val="2"/>
          <w:szCs w:val="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AF4EE" w:sz="2"/>
              <w:left w:val="single" w:color="1F9D55" w:sz="24"/>
              <w:bottom w:val="single" w:color="EAF4EE" w:sz="2"/>
              <w:right w:val="single" w:color="EAF4EE" w:sz="2"/>
            </w:tcBorders>
            <w:shd w:fill="EAF4EE" w:color="auto" w:val="clear"/>
            <w:tcMar>
              <w:top w:type="dxa" w:w="120"/>
              <w:left w:type="dxa" w:w="160"/>
              <w:bottom w:type="dxa" w:w="120"/>
              <w:right w:type="dxa" w:w="160"/>
            </w:tcMar>
          </w:tcPr>
          <w:p>
            <w:pPr>
              <w:spacing w:after="0" w:line="268"/>
            </w:pPr>
            <w:r>
              <w:rPr>
                <w:b/>
                <w:bCs/>
                <w:color w:val="127A41"/>
                <w:sz w:val="20"/>
                <w:szCs w:val="20"/>
              </w:rPr>
              <w:t xml:space="preserve">Final Bonus = (Band Coefficient × Basic Salary) × (Work Days ÷ 365)</w:t>
            </w:r>
          </w:p>
        </w:tc>
      </w:tr>
    </w:tbl>
    <w:p>
      <w:pPr>
        <w:spacing w:after="60"/>
      </w:pPr>
      <w:r>
        <w:rPr>
          <w:sz w:val="2"/>
          <w:szCs w:val="2"/>
        </w:rPr>
        <w:t xml:space="preserve"/>
      </w:r>
    </w:p>
    <w:p>
      <w:pPr>
        <w:spacing w:after="90" w:line="276"/>
      </w:pPr>
      <w:r>
        <w:rPr>
          <w:b/>
          <w:bCs/>
          <w:color w:val="444444"/>
          <w:sz w:val="20"/>
          <w:szCs w:val="20"/>
        </w:rPr>
        <w:t xml:space="preserve">Work Days</w:t>
      </w:r>
      <w:r>
        <w:rPr>
          <w:color w:val="444444"/>
          <w:sz w:val="20"/>
          <w:szCs w:val="20"/>
        </w:rPr>
        <w:t xml:space="preserve"> = actual calendar days employed within the cycle:</w:t>
      </w:r>
    </w:p>
    <w:p>
      <w:pPr>
        <w:pStyle w:val="ListParagraph"/>
        <w:numPr>
          <w:ilvl w:val="1"/>
          <w:numId w:val="2"/>
        </w:numPr>
        <w:spacing w:after="50" w:line="268"/>
      </w:pPr>
      <w:r>
        <w:rPr>
          <w:color w:val="444444"/>
          <w:sz w:val="20"/>
          <w:szCs w:val="20"/>
        </w:rPr>
        <w:t xml:space="preserve">Mid-year joiner: Date of Joining → year-end.</w:t>
      </w:r>
    </w:p>
    <w:p>
      <w:pPr>
        <w:pStyle w:val="ListParagraph"/>
        <w:numPr>
          <w:ilvl w:val="1"/>
          <w:numId w:val="2"/>
        </w:numPr>
        <w:spacing w:after="50" w:line="268"/>
      </w:pPr>
      <w:r>
        <w:rPr>
          <w:color w:val="444444"/>
          <w:sz w:val="20"/>
          <w:szCs w:val="20"/>
        </w:rPr>
        <w:t xml:space="preserve">Leaver: cycle start → last working day.</w:t>
      </w:r>
    </w:p>
    <w:p>
      <w:pPr>
        <w:pStyle w:val="ListParagraph"/>
        <w:numPr>
          <w:ilvl w:val="1"/>
          <w:numId w:val="2"/>
        </w:numPr>
        <w:spacing w:after="50" w:line="268"/>
      </w:pPr>
      <w:r>
        <w:rPr>
          <w:color w:val="444444"/>
          <w:sz w:val="20"/>
          <w:szCs w:val="20"/>
        </w:rPr>
        <w:t xml:space="preserve">Less unpaid leave days.</w:t>
      </w:r>
    </w:p>
    <w:p>
      <w:pPr>
        <w:pStyle w:val="Heading3"/>
        <w:spacing w:after="70" w:before="160"/>
      </w:pPr>
      <w:r>
        <w:rPr>
          <w:b/>
          <w:bCs/>
          <w:color w:val="444444"/>
          <w:sz w:val="21"/>
          <w:szCs w:val="21"/>
        </w:rPr>
        <w:t xml:space="preserve">11.5 Unpaid leave</w:t>
      </w:r>
    </w:p>
    <w:p>
      <w:pPr>
        <w:pStyle w:val="ListParagraph"/>
        <w:numPr>
          <w:ilvl w:val="0"/>
          <w:numId w:val="2"/>
        </w:numPr>
        <w:spacing w:after="50" w:line="268"/>
      </w:pPr>
      <w:r>
        <w:rPr>
          <w:color w:val="444444"/>
          <w:sz w:val="20"/>
          <w:szCs w:val="20"/>
        </w:rPr>
        <w:t xml:space="preserve">Unpaid leave reduces Work Days for pro-ration and reduces effective service for the 6-month eligibility gate. (Someone employed 7 calendar months with 2 months unpaid leave has 5 months effective service and does not clear the gate.)</w:t>
      </w:r>
    </w:p>
    <w:p>
      <w:pPr>
        <w:pStyle w:val="Heading3"/>
        <w:spacing w:after="70" w:before="160"/>
      </w:pPr>
      <w:r>
        <w:rPr>
          <w:b/>
          <w:bCs/>
          <w:color w:val="444444"/>
          <w:sz w:val="21"/>
          <w:szCs w:val="21"/>
        </w:rPr>
        <w:t xml:space="preserve">11.6 Confidentiality</w:t>
      </w:r>
    </w:p>
    <w:p>
      <w:pPr>
        <w:pStyle w:val="ListParagraph"/>
        <w:numPr>
          <w:ilvl w:val="0"/>
          <w:numId w:val="2"/>
        </w:numPr>
        <w:spacing w:after="50" w:line="268"/>
      </w:pPr>
      <w:r>
        <w:rPr>
          <w:color w:val="444444"/>
          <w:sz w:val="20"/>
          <w:szCs w:val="20"/>
        </w:rPr>
        <w:t xml:space="preserve">Salary and bonus figures are visible only to HR (Super Admin + HRBP), COO, and Ops Director (§4.5).</w:t>
      </w:r>
    </w:p>
    <w:p>
      <w:pPr>
        <w:pStyle w:val="Heading3"/>
        <w:spacing w:after="70" w:before="160"/>
      </w:pPr>
      <w:r>
        <w:rPr>
          <w:b/>
          <w:bCs/>
          <w:color w:val="444444"/>
          <w:sz w:val="21"/>
          <w:szCs w:val="21"/>
        </w:rPr>
        <w:t xml:space="preserve">11.7 Payroll export</w:t>
      </w:r>
    </w:p>
    <w:p>
      <w:pPr>
        <w:pStyle w:val="ListParagraph"/>
        <w:numPr>
          <w:ilvl w:val="0"/>
          <w:numId w:val="2"/>
        </w:numPr>
        <w:spacing w:after="50" w:line="268"/>
      </w:pPr>
      <w:r>
        <w:rPr>
          <w:color w:val="444444"/>
          <w:sz w:val="20"/>
          <w:szCs w:val="20"/>
        </w:rPr>
        <w:t xml:space="preserve">The system produces a dedicated bonus Excel export for the payroll team.</w:t>
      </w:r>
    </w:p>
    <w:p>
      <w:pPr>
        <w:pStyle w:val="ListParagraph"/>
        <w:numPr>
          <w:ilvl w:val="0"/>
          <w:numId w:val="2"/>
        </w:numPr>
        <w:spacing w:after="50" w:line="268"/>
      </w:pPr>
      <w:r>
        <w:rPr>
          <w:color w:val="444444"/>
          <w:sz w:val="20"/>
          <w:szCs w:val="20"/>
        </w:rPr>
        <w:t xml:space="preserve">HR-only action to produce; logged (who exported, when).</w:t>
      </w:r>
    </w:p>
    <w:p>
      <w:pPr>
        <w:pStyle w:val="ListParagraph"/>
        <w:numPr>
          <w:ilvl w:val="0"/>
          <w:numId w:val="2"/>
        </w:numPr>
        <w:spacing w:after="50" w:line="268"/>
      </w:pPr>
      <w:r>
        <w:rPr>
          <w:color w:val="444444"/>
          <w:sz w:val="20"/>
          <w:szCs w:val="20"/>
        </w:rPr>
        <w:t xml:space="preserve">v1: clean, logically structured layout, keyed to payroll as-is. (Odoo-importable format aligned later.)</w:t>
      </w:r>
    </w:p>
    <w:p>
      <w:pPr>
        <w:pStyle w:val="ListParagraph"/>
        <w:numPr>
          <w:ilvl w:val="0"/>
          <w:numId w:val="2"/>
        </w:numPr>
        <w:spacing w:after="50" w:line="268"/>
      </w:pPr>
      <w:r>
        <w:rPr>
          <w:b/>
          <w:bCs/>
          <w:color w:val="444444"/>
          <w:sz w:val="20"/>
          <w:szCs w:val="20"/>
        </w:rPr>
        <w:t xml:space="preserve">Contents (per employee): </w:t>
      </w:r>
      <w:r>
        <w:rPr>
          <w:color w:val="444444"/>
          <w:sz w:val="20"/>
          <w:szCs w:val="20"/>
        </w:rPr>
        <w:t xml:space="preserve">Employee ID, name, department/entity, basic salary, final band, coefficient, work days, computed pro-rated bonus. Ineligible employees are included and flagged (with reason: under 6 months), so nothing looks accidentally omitted.</w:t>
      </w:r>
    </w:p>
    <w:p>
      <w:pPr>
        <w:pBdr>
          <w:bottom w:val="single" w:color="CFE3D6" w:sz="6"/>
        </w:pBdr>
        <w:spacing w:after="120" w:before="60"/>
      </w:pPr>
      <w:r>
        <w:rPr>
          <w:sz w:val="2"/>
          <w:szCs w:val="2"/>
        </w:rPr>
        <w:t xml:space="preserve"/>
      </w:r>
    </w:p>
    <w:p>
      <w:pPr>
        <w:pStyle w:val="Heading1"/>
        <w:spacing w:after="140" w:before="320"/>
      </w:pPr>
      <w:r>
        <w:rPr>
          <w:b/>
          <w:bCs/>
          <w:color w:val="127A41"/>
          <w:sz w:val="30"/>
          <w:szCs w:val="30"/>
        </w:rPr>
        <w:t xml:space="preserve">12. Edge Cases</w:t>
      </w:r>
    </w:p>
    <w:p>
      <w:pPr>
        <w:pStyle w:val="Heading3"/>
        <w:spacing w:after="70" w:before="160"/>
      </w:pPr>
      <w:r>
        <w:rPr>
          <w:b/>
          <w:bCs/>
          <w:color w:val="444444"/>
          <w:sz w:val="21"/>
          <w:szCs w:val="21"/>
        </w:rPr>
        <w:t xml:space="preserve">12.1 Leavers</w:t>
      </w:r>
    </w:p>
    <w:p>
      <w:pPr>
        <w:pStyle w:val="ListParagraph"/>
        <w:numPr>
          <w:ilvl w:val="0"/>
          <w:numId w:val="2"/>
        </w:numPr>
        <w:spacing w:after="50" w:line="268"/>
      </w:pPr>
      <w:r>
        <w:rPr>
          <w:color w:val="444444"/>
          <w:sz w:val="20"/>
          <w:szCs w:val="20"/>
        </w:rPr>
        <w:t xml:space="preserve">Status = Leaver + last working day, settable by import or manually (immediate one-off resignations). Absence from an import file never marks a leaver.</w:t>
      </w:r>
    </w:p>
    <w:p>
      <w:pPr>
        <w:pStyle w:val="ListParagraph"/>
        <w:numPr>
          <w:ilvl w:val="0"/>
          <w:numId w:val="2"/>
        </w:numPr>
        <w:spacing w:after="50" w:line="268"/>
      </w:pPr>
      <w:r>
        <w:rPr>
          <w:color w:val="444444"/>
          <w:sz w:val="20"/>
          <w:szCs w:val="20"/>
        </w:rPr>
        <w:t xml:space="preserve">Record and history are preserved (never deleted) — part of the audit trail.</w:t>
      </w:r>
    </w:p>
    <w:p>
      <w:pPr>
        <w:pStyle w:val="ListParagraph"/>
        <w:numPr>
          <w:ilvl w:val="0"/>
          <w:numId w:val="2"/>
        </w:numPr>
        <w:spacing w:after="50" w:line="268"/>
      </w:pPr>
      <w:r>
        <w:rPr>
          <w:color w:val="444444"/>
          <w:sz w:val="20"/>
          <w:szCs w:val="20"/>
        </w:rPr>
        <w:t xml:space="preserve">Pending actions close out (no more reminders/escalations; no lingering "Overdue" polluting the compliance record).</w:t>
      </w:r>
    </w:p>
    <w:p>
      <w:pPr>
        <w:pStyle w:val="ListParagraph"/>
        <w:numPr>
          <w:ilvl w:val="0"/>
          <w:numId w:val="2"/>
        </w:numPr>
        <w:spacing w:after="50" w:line="268"/>
      </w:pPr>
      <w:r>
        <w:rPr>
          <w:color w:val="444444"/>
          <w:sz w:val="20"/>
          <w:szCs w:val="20"/>
        </w:rPr>
        <w:t xml:space="preserve">360 assignments where the leaver was a rater are flagged to HR for reassignment (ratee must still reach 3 assessments).</w:t>
      </w:r>
    </w:p>
    <w:p>
      <w:pPr>
        <w:pStyle w:val="ListParagraph"/>
        <w:numPr>
          <w:ilvl w:val="0"/>
          <w:numId w:val="2"/>
        </w:numPr>
        <w:spacing w:after="50" w:line="268"/>
      </w:pPr>
      <w:r>
        <w:rPr>
          <w:color w:val="444444"/>
          <w:sz w:val="20"/>
          <w:szCs w:val="20"/>
        </w:rPr>
        <w:t xml:space="preserve">Direct reports auto-roll-up one level (to the departed manager's own manager) until HR reassigns a permanent manager.</w:t>
      </w:r>
    </w:p>
    <w:p>
      <w:pPr>
        <w:pStyle w:val="Heading3"/>
        <w:spacing w:after="70" w:before="160"/>
      </w:pPr>
      <w:r>
        <w:rPr>
          <w:b/>
          <w:bCs/>
          <w:color w:val="444444"/>
          <w:sz w:val="21"/>
          <w:szCs w:val="21"/>
        </w:rPr>
        <w:t xml:space="preserve">12.2 Manager change mid-cycle (departure-rollup or reassignment)</w:t>
      </w:r>
    </w:p>
    <w:p>
      <w:pPr>
        <w:pStyle w:val="ListParagraph"/>
        <w:numPr>
          <w:ilvl w:val="0"/>
          <w:numId w:val="2"/>
        </w:numPr>
        <w:spacing w:after="50" w:line="268"/>
      </w:pPr>
      <w:r>
        <w:rPr>
          <w:color w:val="444444"/>
          <w:sz w:val="20"/>
          <w:szCs w:val="20"/>
        </w:rPr>
        <w:t xml:space="preserve">HR gets a visible prompt for temporary roll-ups ("reports temporarily rolled up — needs a permanent manager") so they don't silently persist.</w:t>
      </w:r>
    </w:p>
    <w:p>
      <w:pPr>
        <w:pStyle w:val="ListParagraph"/>
        <w:numPr>
          <w:ilvl w:val="0"/>
          <w:numId w:val="2"/>
        </w:numPr>
        <w:spacing w:after="50" w:line="268"/>
      </w:pPr>
      <w:r>
        <w:rPr>
          <w:color w:val="444444"/>
          <w:sz w:val="20"/>
          <w:szCs w:val="20"/>
        </w:rPr>
        <w:t xml:space="preserve">The new manager inherits existing signed KPIs and picks up from wherever things stand — no re-drafting of the baseline.</w:t>
      </w:r>
    </w:p>
    <w:p>
      <w:pPr>
        <w:pStyle w:val="ListParagraph"/>
        <w:numPr>
          <w:ilvl w:val="0"/>
          <w:numId w:val="2"/>
        </w:numPr>
        <w:spacing w:after="50" w:line="268"/>
      </w:pPr>
      <w:r>
        <w:rPr>
          <w:color w:val="444444"/>
          <w:sz w:val="20"/>
          <w:szCs w:val="20"/>
        </w:rPr>
        <w:t xml:space="preserve">Already-signed work stays locked and valid.</w:t>
      </w:r>
    </w:p>
    <w:p>
      <w:pPr>
        <w:pStyle w:val="ListParagraph"/>
        <w:numPr>
          <w:ilvl w:val="0"/>
          <w:numId w:val="2"/>
        </w:numPr>
        <w:spacing w:after="50" w:line="268"/>
      </w:pPr>
      <w:r>
        <w:rPr>
          <w:color w:val="444444"/>
          <w:sz w:val="20"/>
          <w:szCs w:val="20"/>
        </w:rPr>
        <w:t xml:space="preserve">Manager-of-record = whoever currently holds the relationship at the time of each action (§7.2).</w:t>
      </w:r>
    </w:p>
    <w:p>
      <w:pPr>
        <w:pStyle w:val="Heading3"/>
        <w:spacing w:after="70" w:before="160"/>
      </w:pPr>
      <w:r>
        <w:rPr>
          <w:b/>
          <w:bCs/>
          <w:color w:val="444444"/>
          <w:sz w:val="21"/>
          <w:szCs w:val="21"/>
        </w:rPr>
        <w:t xml:space="preserve">12.3 Transfers mid-cycle (department/entity change)</w:t>
      </w:r>
    </w:p>
    <w:p>
      <w:pPr>
        <w:pStyle w:val="ListParagraph"/>
        <w:numPr>
          <w:ilvl w:val="0"/>
          <w:numId w:val="2"/>
        </w:numPr>
        <w:spacing w:after="50" w:line="268"/>
      </w:pPr>
      <w:r>
        <w:rPr>
          <w:b/>
          <w:bCs/>
          <w:color w:val="444444"/>
          <w:sz w:val="20"/>
          <w:szCs w:val="20"/>
        </w:rPr>
        <w:t xml:space="preserve">Individual KPIs are split</w:t>
      </w:r>
      <w:r>
        <w:rPr>
          <w:color w:val="444444"/>
          <w:sz w:val="20"/>
          <w:szCs w:val="20"/>
        </w:rPr>
        <w:t xml:space="preserve"> across the two periods:</w:t>
      </w:r>
    </w:p>
    <w:p>
      <w:pPr>
        <w:pStyle w:val="ListParagraph"/>
        <w:numPr>
          <w:ilvl w:val="1"/>
          <w:numId w:val="2"/>
        </w:numPr>
        <w:spacing w:after="50" w:line="268"/>
      </w:pPr>
      <w:r>
        <w:rPr>
          <w:color w:val="444444"/>
          <w:sz w:val="20"/>
          <w:szCs w:val="20"/>
        </w:rPr>
        <w:t xml:space="preserve">Old department's KPIs cover the pre-transfer period; new department's KPIs cover the post-transfer period.</w:t>
      </w:r>
    </w:p>
    <w:p>
      <w:pPr>
        <w:pStyle w:val="ListParagraph"/>
        <w:numPr>
          <w:ilvl w:val="1"/>
          <w:numId w:val="2"/>
        </w:numPr>
        <w:spacing w:after="50" w:line="268"/>
      </w:pPr>
      <w:r>
        <w:rPr>
          <w:color w:val="444444"/>
          <w:sz w:val="20"/>
          <w:szCs w:val="20"/>
        </w:rPr>
        <w:t xml:space="preserve">Each department's manager drafts and assesses their own portion's KPIs; HR signs off / consolidates (neither manager owns the full year).</w:t>
      </w:r>
    </w:p>
    <w:p>
      <w:pPr>
        <w:pStyle w:val="ListParagraph"/>
        <w:numPr>
          <w:ilvl w:val="0"/>
          <w:numId w:val="2"/>
        </w:numPr>
        <w:spacing w:after="50" w:line="268"/>
      </w:pPr>
      <w:r>
        <w:rPr>
          <w:color w:val="444444"/>
          <w:sz w:val="20"/>
          <w:szCs w:val="20"/>
        </w:rPr>
        <w:t xml:space="preserve">Departmental and Corporate/entity scores follow the periods (old for the first portion, new for the second).</w:t>
      </w:r>
    </w:p>
    <w:p>
      <w:pPr>
        <w:pStyle w:val="ListParagraph"/>
        <w:numPr>
          <w:ilvl w:val="0"/>
          <w:numId w:val="2"/>
        </w:numPr>
        <w:spacing w:after="50" w:line="268"/>
      </w:pPr>
      <w:r>
        <w:rPr>
          <w:b/>
          <w:bCs/>
          <w:color w:val="444444"/>
          <w:sz w:val="20"/>
          <w:szCs w:val="20"/>
        </w:rPr>
        <w:t xml:space="preserve">Proration basis: </w:t>
      </w:r>
      <w:r>
        <w:rPr>
          <w:color w:val="444444"/>
          <w:sz w:val="20"/>
          <w:szCs w:val="20"/>
        </w:rPr>
        <w:t xml:space="preserve">same calendar-day logic as bonus — each period weighted by days-in-department ÷ 365.</w:t>
      </w:r>
    </w:p>
    <w:p>
      <w:pPr>
        <w:pStyle w:val="ListParagraph"/>
        <w:numPr>
          <w:ilvl w:val="0"/>
          <w:numId w:val="2"/>
        </w:numPr>
        <w:spacing w:after="50" w:line="268"/>
      </w:pPr>
      <w:r>
        <w:rPr>
          <w:color w:val="444444"/>
          <w:sz w:val="20"/>
          <w:szCs w:val="20"/>
        </w:rPr>
        <w:t xml:space="preserve">360 is done once at year-end (from wherever the employee sits then), not duplicated.</w:t>
      </w:r>
    </w:p>
    <w:p>
      <w:pPr>
        <w:spacing w:after="40"/>
      </w:pPr>
      <w:r>
        <w:rPr>
          <w:sz w:val="2"/>
          <w:szCs w:val="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EAF4EE" w:sz="2"/>
              <w:left w:val="single" w:color="1F9D55" w:sz="24"/>
              <w:bottom w:val="single" w:color="EAF4EE" w:sz="2"/>
              <w:right w:val="single" w:color="EAF4EE" w:sz="2"/>
            </w:tcBorders>
            <w:shd w:fill="EAF4EE" w:color="auto" w:val="clear"/>
            <w:tcMar>
              <w:top w:type="dxa" w:w="120"/>
              <w:left w:type="dxa" w:w="160"/>
              <w:bottom w:type="dxa" w:w="120"/>
              <w:right w:type="dxa" w:w="160"/>
            </w:tcMar>
          </w:tcPr>
          <w:p>
            <w:pPr>
              <w:spacing w:after="0" w:line="268"/>
            </w:pPr>
            <w:r>
              <w:rPr>
                <w:b/>
                <w:bCs/>
                <w:color w:val="127A41"/>
                <w:sz w:val="20"/>
                <w:szCs w:val="20"/>
              </w:rPr>
              <w:t xml:space="preserve">Prorated individual score = (Old-period KPI score × old days/365) + (New-period KPI score × new days/365)</w:t>
            </w:r>
            <w:r>
              <w:rPr>
                <w:color w:val="127A41"/>
                <w:sz w:val="20"/>
                <w:szCs w:val="20"/>
              </w:rPr>
              <w:t xml:space="preserve"> — with departmental/corporate components day-weighted the same way.</w:t>
            </w:r>
          </w:p>
        </w:tc>
      </w:tr>
    </w:tbl>
    <w:p>
      <w:pPr>
        <w:spacing w:after="80"/>
      </w:pPr>
      <w:r>
        <w:rPr>
          <w:sz w:val="2"/>
          <w:szCs w:val="2"/>
        </w:rPr>
        <w:t xml:space="preserve"/>
      </w:r>
    </w:p>
    <w:p>
      <w:pPr>
        <w:pStyle w:val="Heading3"/>
        <w:spacing w:after="70" w:before="160"/>
      </w:pPr>
      <w:r>
        <w:rPr>
          <w:b/>
          <w:bCs/>
          <w:color w:val="444444"/>
          <w:sz w:val="21"/>
          <w:szCs w:val="21"/>
        </w:rPr>
        <w:t xml:space="preserve">12.4 Probation</w:t>
      </w:r>
    </w:p>
    <w:p>
      <w:pPr>
        <w:pStyle w:val="ListParagraph"/>
        <w:numPr>
          <w:ilvl w:val="0"/>
          <w:numId w:val="2"/>
        </w:numPr>
        <w:spacing w:after="50" w:line="268"/>
      </w:pPr>
      <w:r>
        <w:rPr>
          <w:color w:val="444444"/>
          <w:sz w:val="20"/>
          <w:szCs w:val="20"/>
        </w:rPr>
        <w:t xml:space="preserve">Probationary employees participate normally — KPIs, assessment, scoring identical to everyone else.</w:t>
      </w:r>
    </w:p>
    <w:p>
      <w:pPr>
        <w:pStyle w:val="ListParagraph"/>
        <w:numPr>
          <w:ilvl w:val="0"/>
          <w:numId w:val="2"/>
        </w:numPr>
        <w:spacing w:after="50" w:line="268"/>
      </w:pPr>
      <w:r>
        <w:rPr>
          <w:color w:val="444444"/>
          <w:sz w:val="20"/>
          <w:szCs w:val="20"/>
        </w:rPr>
        <w:t xml:space="preserve">No special probation handling. (Bonus eligibility still runs off the independent 6-month gate.)</w:t>
      </w:r>
    </w:p>
    <w:p>
      <w:pPr>
        <w:pBdr>
          <w:bottom w:val="single" w:color="CFE3D6" w:sz="6"/>
        </w:pBdr>
        <w:spacing w:after="120" w:before="60"/>
      </w:pPr>
      <w:r>
        <w:rPr>
          <w:sz w:val="2"/>
          <w:szCs w:val="2"/>
        </w:rPr>
        <w:t xml:space="preserve"/>
      </w:r>
    </w:p>
    <w:p>
      <w:pPr>
        <w:pStyle w:val="Heading1"/>
        <w:spacing w:after="140" w:before="320"/>
      </w:pPr>
      <w:r>
        <w:rPr>
          <w:b/>
          <w:bCs/>
          <w:color w:val="127A41"/>
          <w:sz w:val="30"/>
          <w:szCs w:val="30"/>
        </w:rPr>
        <w:t xml:space="preserve">13. Outputs &amp; Reporting</w:t>
      </w:r>
    </w:p>
    <w:p>
      <w:pPr>
        <w:pStyle w:val="Heading3"/>
        <w:spacing w:after="70" w:before="160"/>
      </w:pPr>
      <w:r>
        <w:rPr>
          <w:b/>
          <w:bCs/>
          <w:color w:val="444444"/>
          <w:sz w:val="21"/>
          <w:szCs w:val="21"/>
        </w:rPr>
        <w:t xml:space="preserve">13.1 Employee scorecard</w:t>
      </w:r>
    </w:p>
    <w:p>
      <w:pPr>
        <w:pStyle w:val="ListParagraph"/>
        <w:numPr>
          <w:ilvl w:val="0"/>
          <w:numId w:val="2"/>
        </w:numPr>
        <w:spacing w:after="50" w:line="268"/>
      </w:pPr>
      <w:r>
        <w:rPr>
          <w:color w:val="444444"/>
          <w:sz w:val="20"/>
          <w:szCs w:val="20"/>
        </w:rPr>
        <w:t xml:space="preserve">Shows only: final band and score (calibrated, but never labeled as such — just "their score") + consolidated 360 score and combined/summarized written comments (not attributed to individual raters, protecting anonymity).</w:t>
      </w:r>
    </w:p>
    <w:p>
      <w:pPr>
        <w:pStyle w:val="ListParagraph"/>
        <w:numPr>
          <w:ilvl w:val="0"/>
          <w:numId w:val="2"/>
        </w:numPr>
        <w:spacing w:after="50" w:line="268"/>
      </w:pPr>
      <w:r>
        <w:rPr>
          <w:color w:val="444444"/>
          <w:sz w:val="20"/>
          <w:szCs w:val="20"/>
        </w:rPr>
        <w:t xml:space="preserve">The employee never sees: raw scores, component breakdown, any sign of calibration, or mid-process work.</w:t>
      </w:r>
    </w:p>
    <w:p>
      <w:pPr>
        <w:pStyle w:val="Heading3"/>
        <w:spacing w:after="70" w:before="160"/>
      </w:pPr>
      <w:r>
        <w:rPr>
          <w:b/>
          <w:bCs/>
          <w:color w:val="444444"/>
          <w:sz w:val="21"/>
          <w:szCs w:val="21"/>
        </w:rPr>
        <w:t xml:space="preserve">13.2 Publish gate</w:t>
      </w:r>
    </w:p>
    <w:p>
      <w:pPr>
        <w:pStyle w:val="ListParagraph"/>
        <w:numPr>
          <w:ilvl w:val="0"/>
          <w:numId w:val="2"/>
        </w:numPr>
        <w:spacing w:after="50" w:line="268"/>
      </w:pPr>
      <w:r>
        <w:rPr>
          <w:color w:val="444444"/>
          <w:sz w:val="20"/>
          <w:szCs w:val="20"/>
        </w:rPr>
        <w:t xml:space="preserve">Employee results are hidden entirely until HR Super Admin explicitly publishes them — a deliberate final step after all assessments, calibration, and bonus are complete.</w:t>
      </w:r>
    </w:p>
    <w:p>
      <w:pPr>
        <w:pStyle w:val="ListParagraph"/>
        <w:numPr>
          <w:ilvl w:val="0"/>
          <w:numId w:val="2"/>
        </w:numPr>
        <w:spacing w:after="50" w:line="268"/>
      </w:pPr>
      <w:r>
        <w:rPr>
          <w:color w:val="444444"/>
          <w:sz w:val="20"/>
          <w:szCs w:val="20"/>
        </w:rPr>
        <w:t xml:space="preserve">Nothing shows to the employee while work is happening in the background (no partial/shifting results).</w:t>
      </w:r>
    </w:p>
    <w:p>
      <w:pPr>
        <w:pStyle w:val="ListParagraph"/>
        <w:numPr>
          <w:ilvl w:val="0"/>
          <w:numId w:val="2"/>
        </w:numPr>
        <w:spacing w:after="50" w:line="268"/>
      </w:pPr>
      <w:r>
        <w:rPr>
          <w:b/>
          <w:bCs/>
          <w:color w:val="444444"/>
          <w:sz w:val="20"/>
          <w:szCs w:val="20"/>
        </w:rPr>
        <w:t xml:space="preserve">Publish is all-at-once, cycle-wide</w:t>
      </w:r>
      <w:r>
        <w:rPr>
          <w:color w:val="444444"/>
          <w:sz w:val="20"/>
          <w:szCs w:val="20"/>
        </w:rPr>
        <w:t xml:space="preserve"> — everyone's results go live simultaneously (fairness).</w:t>
      </w:r>
    </w:p>
    <w:p>
      <w:pPr>
        <w:pStyle w:val="ListParagraph"/>
        <w:numPr>
          <w:ilvl w:val="0"/>
          <w:numId w:val="2"/>
        </w:numPr>
        <w:spacing w:after="50" w:line="268"/>
      </w:pPr>
      <w:r>
        <w:rPr>
          <w:b/>
          <w:bCs/>
          <w:color w:val="444444"/>
          <w:sz w:val="20"/>
          <w:szCs w:val="20"/>
        </w:rPr>
        <w:t xml:space="preserve">Guard against accidental triggering: </w:t>
      </w:r>
      <w:r>
        <w:rPr>
          <w:color w:val="444444"/>
          <w:sz w:val="20"/>
          <w:szCs w:val="20"/>
        </w:rPr>
        <w:t xml:space="preserve">confirmation step + clear warning + ideally a readiness check flagging anything incomplete. Must be impossible to publish by a stray click.</w:t>
      </w:r>
    </w:p>
    <w:p>
      <w:pPr>
        <w:pStyle w:val="ListParagraph"/>
        <w:numPr>
          <w:ilvl w:val="0"/>
          <w:numId w:val="2"/>
        </w:numPr>
        <w:spacing w:after="50" w:line="268"/>
      </w:pPr>
      <w:r>
        <w:rPr>
          <w:b/>
          <w:bCs/>
          <w:color w:val="444444"/>
          <w:sz w:val="20"/>
          <w:szCs w:val="20"/>
        </w:rPr>
        <w:t xml:space="preserve">Publish is reversible </w:t>
      </w:r>
      <w:r>
        <w:rPr>
          <w:color w:val="444444"/>
          <w:sz w:val="20"/>
          <w:szCs w:val="20"/>
        </w:rPr>
        <w:t xml:space="preserve">(un-publish), and reversal is audited (who, when, why). A correction during an un-publish/re-publish window is invisible to the employee unless they happened to look in between.</w:t>
      </w:r>
    </w:p>
    <w:p>
      <w:pPr>
        <w:pStyle w:val="Heading3"/>
        <w:spacing w:after="70" w:before="160"/>
      </w:pPr>
      <w:r>
        <w:rPr>
          <w:b/>
          <w:bCs/>
          <w:color w:val="444444"/>
          <w:sz w:val="21"/>
          <w:szCs w:val="21"/>
        </w:rPr>
        <w:t xml:space="preserve">13.3 Manager workspace</w:t>
      </w:r>
    </w:p>
    <w:p>
      <w:pPr>
        <w:pStyle w:val="ListParagraph"/>
        <w:numPr>
          <w:ilvl w:val="0"/>
          <w:numId w:val="2"/>
        </w:numPr>
        <w:spacing w:after="50" w:line="268"/>
      </w:pPr>
      <w:r>
        <w:rPr>
          <w:b/>
          <w:bCs/>
          <w:color w:val="444444"/>
          <w:sz w:val="20"/>
          <w:szCs w:val="20"/>
        </w:rPr>
        <w:t xml:space="preserve">My Team status dashboard (aggregate, live): </w:t>
      </w:r>
      <w:r>
        <w:rPr>
          <w:color w:val="444444"/>
          <w:sz w:val="20"/>
          <w:szCs w:val="20"/>
        </w:rPr>
        <w:t xml:space="preserve">across direct reports — status per stage (drafted/signed/self-assessed/etc.), what's outstanding, what's approaching or past deadline. The manager's operational cockpit to self-manage before escalations fire.</w:t>
      </w:r>
    </w:p>
    <w:p>
      <w:pPr>
        <w:pStyle w:val="ListParagraph"/>
        <w:numPr>
          <w:ilvl w:val="0"/>
          <w:numId w:val="2"/>
        </w:numPr>
        <w:spacing w:after="50" w:line="268"/>
      </w:pPr>
      <w:r>
        <w:rPr>
          <w:b/>
          <w:bCs/>
          <w:color w:val="444444"/>
          <w:sz w:val="20"/>
          <w:szCs w:val="20"/>
        </w:rPr>
        <w:t xml:space="preserve">Down-chain oversight (view-only): </w:t>
      </w:r>
      <w:r>
        <w:rPr>
          <w:color w:val="444444"/>
          <w:sz w:val="20"/>
          <w:szCs w:val="20"/>
        </w:rPr>
        <w:t xml:space="preserve">rolled-up completion health across the deeper reporting tree.</w:t>
      </w:r>
    </w:p>
    <w:p>
      <w:pPr>
        <w:pStyle w:val="ListParagraph"/>
        <w:numPr>
          <w:ilvl w:val="0"/>
          <w:numId w:val="2"/>
        </w:numPr>
        <w:spacing w:after="50" w:line="268"/>
      </w:pPr>
      <w:r>
        <w:rPr>
          <w:color w:val="444444"/>
          <w:sz w:val="20"/>
          <w:szCs w:val="20"/>
        </w:rPr>
        <w:t xml:space="preserve">Shows status, scores, and bands — never salary or bonus.</w:t>
      </w:r>
    </w:p>
    <w:p>
      <w:pPr>
        <w:pStyle w:val="Heading3"/>
        <w:spacing w:after="70" w:before="160"/>
      </w:pPr>
      <w:r>
        <w:rPr>
          <w:b/>
          <w:bCs/>
          <w:color w:val="444444"/>
          <w:sz w:val="21"/>
          <w:szCs w:val="21"/>
        </w:rPr>
        <w:t xml:space="preserve">13.4 Status engine</w:t>
      </w:r>
    </w:p>
    <w:p>
      <w:pPr>
        <w:pStyle w:val="ListParagraph"/>
        <w:numPr>
          <w:ilvl w:val="0"/>
          <w:numId w:val="2"/>
        </w:numPr>
        <w:spacing w:after="50" w:line="268"/>
      </w:pPr>
      <w:r>
        <w:rPr>
          <w:color w:val="444444"/>
          <w:sz w:val="20"/>
          <w:szCs w:val="20"/>
        </w:rPr>
        <w:t xml:space="preserve">The dashboard is a role-scoped view of one shared status engine: manager sees their chain, HR sees org-wide. Not separate builds — one engine, filtered by role.</w:t>
      </w:r>
    </w:p>
    <w:p>
      <w:pPr>
        <w:pStyle w:val="Heading3"/>
        <w:spacing w:after="70" w:before="160"/>
      </w:pPr>
      <w:r>
        <w:rPr>
          <w:b/>
          <w:bCs/>
          <w:color w:val="444444"/>
          <w:sz w:val="21"/>
          <w:szCs w:val="21"/>
        </w:rPr>
        <w:t xml:space="preserve">13.5 HR reports</w:t>
      </w:r>
    </w:p>
    <w:p>
      <w:pPr>
        <w:pStyle w:val="ListParagraph"/>
        <w:numPr>
          <w:ilvl w:val="0"/>
          <w:numId w:val="3"/>
        </w:numPr>
        <w:spacing w:after="50" w:line="268"/>
      </w:pPr>
      <w:r>
        <w:rPr>
          <w:b/>
          <w:bCs/>
          <w:color w:val="444444"/>
          <w:sz w:val="20"/>
          <w:szCs w:val="20"/>
        </w:rPr>
        <w:t xml:space="preserve">Cycle-progress / completion tracking</w:t>
      </w:r>
      <w:r>
        <w:rPr>
          <w:color w:val="444444"/>
          <w:sz w:val="20"/>
          <w:szCs w:val="20"/>
        </w:rPr>
        <w:t xml:space="preserve"> — org-wide status.</w:t>
      </w:r>
    </w:p>
    <w:p>
      <w:pPr>
        <w:pStyle w:val="ListParagraph"/>
        <w:numPr>
          <w:ilvl w:val="0"/>
          <w:numId w:val="3"/>
        </w:numPr>
        <w:spacing w:after="50" w:line="268"/>
      </w:pPr>
      <w:r>
        <w:rPr>
          <w:b/>
          <w:bCs/>
          <w:color w:val="444444"/>
          <w:sz w:val="20"/>
          <w:szCs w:val="20"/>
        </w:rPr>
        <w:t xml:space="preserve">Manager compliance report</w:t>
      </w:r>
      <w:r>
        <w:rPr>
          <w:color w:val="444444"/>
          <w:sz w:val="20"/>
          <w:szCs w:val="20"/>
        </w:rPr>
        <w:t xml:space="preserve"> — deadline misses &amp; escalations per manager, for top management (§5.6).</w:t>
      </w:r>
    </w:p>
    <w:p>
      <w:pPr>
        <w:pStyle w:val="ListParagraph"/>
        <w:numPr>
          <w:ilvl w:val="0"/>
          <w:numId w:val="3"/>
        </w:numPr>
        <w:spacing w:after="50" w:line="268"/>
      </w:pPr>
      <w:r>
        <w:rPr>
          <w:b/>
          <w:bCs/>
          <w:color w:val="444444"/>
          <w:sz w:val="20"/>
          <w:szCs w:val="20"/>
        </w:rPr>
        <w:t xml:space="preserve">Results distribution report</w:t>
      </w:r>
      <w:r>
        <w:rPr>
          <w:color w:val="444444"/>
          <w:sz w:val="20"/>
          <w:szCs w:val="20"/>
        </w:rPr>
        <w:t xml:space="preserve"> — band breakdown per department / entity / org-wide (also feeds calibration).</w:t>
      </w:r>
    </w:p>
    <w:p>
      <w:pPr>
        <w:pStyle w:val="ListParagraph"/>
        <w:numPr>
          <w:ilvl w:val="0"/>
          <w:numId w:val="3"/>
        </w:numPr>
        <w:spacing w:after="50" w:line="268"/>
      </w:pPr>
      <w:r>
        <w:rPr>
          <w:b/>
          <w:bCs/>
          <w:color w:val="444444"/>
          <w:sz w:val="20"/>
          <w:szCs w:val="20"/>
        </w:rPr>
        <w:t xml:space="preserve">Bonus report + Excel export</w:t>
      </w:r>
      <w:r>
        <w:rPr>
          <w:color w:val="444444"/>
          <w:sz w:val="20"/>
          <w:szCs w:val="20"/>
        </w:rPr>
        <w:t xml:space="preserve"> — §11.7 (HR-only to produce, logged).</w:t>
      </w:r>
    </w:p>
    <w:p>
      <w:pPr>
        <w:pStyle w:val="ListParagraph"/>
        <w:numPr>
          <w:ilvl w:val="0"/>
          <w:numId w:val="3"/>
        </w:numPr>
        <w:spacing w:after="50" w:line="268"/>
      </w:pPr>
      <w:r>
        <w:rPr>
          <w:b/>
          <w:bCs/>
          <w:color w:val="444444"/>
          <w:sz w:val="20"/>
          <w:szCs w:val="20"/>
        </w:rPr>
        <w:t xml:space="preserve">Master results export</w:t>
      </w:r>
      <w:r>
        <w:rPr>
          <w:color w:val="444444"/>
          <w:sz w:val="20"/>
          <w:szCs w:val="20"/>
        </w:rPr>
        <w:t xml:space="preserve"> — full dataset: all employees, all components, raw + calibrated scores, bands, calibration adjustments with reasons, full audit trail. Restricted to HR Super Admin only (not HRBP).</w:t>
      </w:r>
    </w:p>
    <w:p>
      <w:pPr>
        <w:pStyle w:val="Heading3"/>
        <w:spacing w:after="70" w:before="160"/>
      </w:pPr>
      <w:r>
        <w:rPr>
          <w:b/>
          <w:bCs/>
          <w:color w:val="444444"/>
          <w:sz w:val="21"/>
          <w:szCs w:val="21"/>
        </w:rPr>
        <w:t xml:space="preserve">13.6 Executive dashboard (COO / Ops Director)</w:t>
      </w:r>
    </w:p>
    <w:p>
      <w:pPr>
        <w:pStyle w:val="ListParagraph"/>
        <w:numPr>
          <w:ilvl w:val="0"/>
          <w:numId w:val="2"/>
        </w:numPr>
        <w:spacing w:after="50" w:line="268"/>
      </w:pPr>
      <w:r>
        <w:rPr>
          <w:b/>
          <w:bCs/>
          <w:color w:val="444444"/>
          <w:sz w:val="20"/>
          <w:szCs w:val="20"/>
        </w:rPr>
        <w:t xml:space="preserve">Aggregate-first: </w:t>
      </w:r>
      <w:r>
        <w:rPr>
          <w:color w:val="444444"/>
          <w:sz w:val="20"/>
          <w:szCs w:val="20"/>
        </w:rPr>
        <w:t xml:space="preserve">org-wide band distributions across departments and entities, completion health, compliance picture, bonus totals.</w:t>
      </w:r>
    </w:p>
    <w:p>
      <w:pPr>
        <w:pStyle w:val="ListParagraph"/>
        <w:numPr>
          <w:ilvl w:val="0"/>
          <w:numId w:val="2"/>
        </w:numPr>
        <w:spacing w:after="50" w:line="268"/>
      </w:pPr>
      <w:r>
        <w:rPr>
          <w:b/>
          <w:bCs/>
          <w:color w:val="444444"/>
          <w:sz w:val="20"/>
          <w:szCs w:val="20"/>
        </w:rPr>
        <w:t xml:space="preserve">Full drill-down on demand </w:t>
      </w:r>
      <w:r>
        <w:rPr>
          <w:color w:val="444444"/>
          <w:sz w:val="20"/>
          <w:szCs w:val="20"/>
        </w:rPr>
        <w:t xml:space="preserve">into any individual's complete record, including salary/bonus.</w:t>
      </w:r>
    </w:p>
    <w:p>
      <w:pPr>
        <w:pStyle w:val="ListParagraph"/>
        <w:numPr>
          <w:ilvl w:val="0"/>
          <w:numId w:val="2"/>
        </w:numPr>
        <w:spacing w:after="50" w:line="268"/>
      </w:pPr>
      <w:r>
        <w:rPr>
          <w:color w:val="444444"/>
          <w:sz w:val="20"/>
          <w:szCs w:val="20"/>
        </w:rPr>
        <w:t xml:space="preserve">Read-only throughout.</w:t>
      </w:r>
    </w:p>
    <w:p>
      <w:pPr>
        <w:pBdr>
          <w:bottom w:val="single" w:color="CFE3D6" w:sz="6"/>
        </w:pBdr>
        <w:spacing w:after="120" w:before="60"/>
      </w:pPr>
      <w:r>
        <w:rPr>
          <w:sz w:val="2"/>
          <w:szCs w:val="2"/>
        </w:rPr>
        <w:t xml:space="preserve"/>
      </w:r>
    </w:p>
    <w:p>
      <w:pPr>
        <w:pStyle w:val="Heading1"/>
        <w:spacing w:after="140" w:before="320"/>
      </w:pPr>
      <w:r>
        <w:rPr>
          <w:b/>
          <w:bCs/>
          <w:color w:val="127A41"/>
          <w:sz w:val="30"/>
          <w:szCs w:val="30"/>
        </w:rPr>
        <w:t xml:space="preserve">14. Build Approach (v1 → v2)</w:t>
      </w:r>
    </w:p>
    <w:p>
      <w:pPr>
        <w:pStyle w:val="ListParagraph"/>
        <w:numPr>
          <w:ilvl w:val="0"/>
          <w:numId w:val="2"/>
        </w:numPr>
        <w:spacing w:after="50" w:line="268"/>
      </w:pPr>
      <w:r>
        <w:rPr>
          <w:b/>
          <w:bCs/>
          <w:color w:val="444444"/>
          <w:sz w:val="20"/>
          <w:szCs w:val="20"/>
        </w:rPr>
        <w:t xml:space="preserve">v1: </w:t>
      </w:r>
      <w:r>
        <w:rPr>
          <w:color w:val="444444"/>
          <w:sz w:val="20"/>
          <w:szCs w:val="20"/>
        </w:rPr>
        <w:t xml:space="preserve">No Odoo integration. Excel import for employee data; Excel export for payroll. Prove the full cycle and scoring model.</w:t>
      </w:r>
    </w:p>
    <w:p>
      <w:pPr>
        <w:pStyle w:val="ListParagraph"/>
        <w:numPr>
          <w:ilvl w:val="0"/>
          <w:numId w:val="2"/>
        </w:numPr>
        <w:spacing w:after="50" w:line="268"/>
      </w:pPr>
      <w:r>
        <w:rPr>
          <w:b/>
          <w:bCs/>
          <w:color w:val="444444"/>
          <w:sz w:val="20"/>
          <w:szCs w:val="20"/>
        </w:rPr>
        <w:t xml:space="preserve">v2: </w:t>
      </w:r>
      <w:r>
        <w:rPr>
          <w:color w:val="444444"/>
          <w:sz w:val="20"/>
          <w:szCs w:val="20"/>
        </w:rPr>
        <w:t xml:space="preserve">Odoo sync replaces/supplements the Excel loader (same import layer, same stable Employee ID key — no rework). Align payroll export to an Odoo-importable format. Link 360 projects to the separate projects system.</w:t>
      </w:r>
    </w:p>
    <w:p>
      <w:pPr>
        <w:spacing w:after="90" w:line="276"/>
      </w:pPr>
      <w:r>
        <w:rPr>
          <w:b/>
          <w:bCs/>
          <w:color w:val="444444"/>
          <w:sz w:val="20"/>
          <w:szCs w:val="20"/>
        </w:rPr>
        <w:t xml:space="preserve">Design mandates carried from day one:</w:t>
      </w:r>
    </w:p>
    <w:p>
      <w:pPr>
        <w:pStyle w:val="ListParagraph"/>
        <w:numPr>
          <w:ilvl w:val="0"/>
          <w:numId w:val="2"/>
        </w:numPr>
        <w:spacing w:after="50" w:line="268"/>
      </w:pPr>
      <w:r>
        <w:rPr>
          <w:color w:val="444444"/>
          <w:sz w:val="20"/>
          <w:szCs w:val="20"/>
        </w:rPr>
        <w:t xml:space="preserve">Import as a layer into an internal employee table.</w:t>
      </w:r>
    </w:p>
    <w:p>
      <w:pPr>
        <w:pStyle w:val="ListParagraph"/>
        <w:numPr>
          <w:ilvl w:val="0"/>
          <w:numId w:val="2"/>
        </w:numPr>
        <w:spacing w:after="50" w:line="268"/>
      </w:pPr>
      <w:r>
        <w:rPr>
          <w:color w:val="444444"/>
          <w:sz w:val="20"/>
          <w:szCs w:val="20"/>
        </w:rPr>
        <w:t xml:space="preserve">Odoo employee ID as permanent stable key.</w:t>
      </w:r>
    </w:p>
    <w:p>
      <w:pPr>
        <w:pStyle w:val="ListParagraph"/>
        <w:numPr>
          <w:ilvl w:val="0"/>
          <w:numId w:val="2"/>
        </w:numPr>
        <w:spacing w:after="50" w:line="268"/>
      </w:pPr>
      <w:r>
        <w:rPr>
          <w:color w:val="444444"/>
          <w:sz w:val="20"/>
          <w:szCs w:val="20"/>
        </w:rPr>
        <w:t xml:space="preserve">Audit everything that changes a score, a KPI, or a published result (with mandatory reasons on rejections, calibration overrides, and un-publish).</w:t>
      </w:r>
    </w:p>
    <w:p>
      <w:pPr>
        <w:pBdr>
          <w:bottom w:val="single" w:color="CFE3D6" w:sz="6"/>
        </w:pBdr>
        <w:spacing w:after="120" w:before="60"/>
      </w:pPr>
      <w:r>
        <w:rPr>
          <w:sz w:val="2"/>
          <w:szCs w:val="2"/>
        </w:rPr>
        <w:t xml:space="preserve"/>
      </w:r>
    </w:p>
    <w:p>
      <w:pPr>
        <w:pStyle w:val="Heading1"/>
        <w:spacing w:after="140" w:before="320"/>
      </w:pPr>
      <w:r>
        <w:rPr>
          <w:b/>
          <w:bCs/>
          <w:color w:val="127A41"/>
          <w:sz w:val="30"/>
          <w:szCs w:val="30"/>
        </w:rPr>
        <w:t xml:space="preserve">Appendix A — Core System Principles (design invariants)</w:t>
      </w:r>
    </w:p>
    <w:p>
      <w:pPr>
        <w:pStyle w:val="ListParagraph"/>
        <w:numPr>
          <w:ilvl w:val="0"/>
          <w:numId w:val="3"/>
        </w:numPr>
        <w:spacing w:after="50" w:line="268"/>
      </w:pPr>
      <w:r>
        <w:rPr>
          <w:color w:val="444444"/>
          <w:sz w:val="20"/>
          <w:szCs w:val="20"/>
        </w:rPr>
        <w:t xml:space="preserve">The system mirrors the existing manual process — it does not redesign methodology.</w:t>
      </w:r>
    </w:p>
    <w:p>
      <w:pPr>
        <w:pStyle w:val="ListParagraph"/>
        <w:numPr>
          <w:ilvl w:val="0"/>
          <w:numId w:val="3"/>
        </w:numPr>
        <w:spacing w:after="50" w:line="268"/>
      </w:pPr>
      <w:r>
        <w:rPr>
          <w:color w:val="444444"/>
          <w:sz w:val="20"/>
          <w:szCs w:val="20"/>
        </w:rPr>
        <w:t xml:space="preserve">HR approval locks; sign-off only signals agreement.</w:t>
      </w:r>
    </w:p>
    <w:p>
      <w:pPr>
        <w:pStyle w:val="ListParagraph"/>
        <w:numPr>
          <w:ilvl w:val="0"/>
          <w:numId w:val="3"/>
        </w:numPr>
        <w:spacing w:after="50" w:line="268"/>
      </w:pPr>
      <w:r>
        <w:rPr>
          <w:color w:val="444444"/>
          <w:sz w:val="20"/>
          <w:szCs w:val="20"/>
        </w:rPr>
        <w:t xml:space="preserve">Responsibility for a missed deadline falls on whoever controlled that action; an employee is never disadvantaged by a manager's inaction.</w:t>
      </w:r>
    </w:p>
    <w:p>
      <w:pPr>
        <w:pStyle w:val="ListParagraph"/>
        <w:numPr>
          <w:ilvl w:val="0"/>
          <w:numId w:val="3"/>
        </w:numPr>
        <w:spacing w:after="50" w:line="268"/>
      </w:pPr>
      <w:r>
        <w:rPr>
          <w:color w:val="444444"/>
          <w:sz w:val="20"/>
          <w:szCs w:val="20"/>
        </w:rPr>
        <w:t xml:space="preserve">One owner per assessment: only the direct line manager acts; senior managers view only.</w:t>
      </w:r>
    </w:p>
    <w:p>
      <w:pPr>
        <w:pStyle w:val="ListParagraph"/>
        <w:numPr>
          <w:ilvl w:val="0"/>
          <w:numId w:val="3"/>
        </w:numPr>
        <w:spacing w:after="50" w:line="268"/>
      </w:pPr>
      <w:r>
        <w:rPr>
          <w:color w:val="444444"/>
          <w:sz w:val="20"/>
          <w:szCs w:val="20"/>
        </w:rPr>
        <w:t xml:space="preserve">Roles are additive; no hybrid roles.</w:t>
      </w:r>
    </w:p>
    <w:p>
      <w:pPr>
        <w:pStyle w:val="ListParagraph"/>
        <w:numPr>
          <w:ilvl w:val="0"/>
          <w:numId w:val="3"/>
        </w:numPr>
        <w:spacing w:after="50" w:line="268"/>
      </w:pPr>
      <w:r>
        <w:rPr>
          <w:color w:val="444444"/>
          <w:sz w:val="20"/>
          <w:szCs w:val="20"/>
        </w:rPr>
        <w:t xml:space="preserve">Tasks are driven by assignment, not hierarchy.</w:t>
      </w:r>
    </w:p>
    <w:p>
      <w:pPr>
        <w:pStyle w:val="ListParagraph"/>
        <w:numPr>
          <w:ilvl w:val="0"/>
          <w:numId w:val="3"/>
        </w:numPr>
        <w:spacing w:after="50" w:line="268"/>
      </w:pPr>
      <w:r>
        <w:rPr>
          <w:color w:val="444444"/>
          <w:sz w:val="20"/>
          <w:szCs w:val="20"/>
        </w:rPr>
        <w:t xml:space="preserve">Raw scores are never overwritten; calibration is a separate, audited layer.</w:t>
      </w:r>
    </w:p>
    <w:p>
      <w:pPr>
        <w:pStyle w:val="ListParagraph"/>
        <w:numPr>
          <w:ilvl w:val="0"/>
          <w:numId w:val="3"/>
        </w:numPr>
        <w:spacing w:after="50" w:line="268"/>
      </w:pPr>
      <w:r>
        <w:rPr>
          <w:color w:val="444444"/>
          <w:sz w:val="20"/>
          <w:szCs w:val="20"/>
        </w:rPr>
        <w:t xml:space="preserve">Nothing is visible to employees until deliberately published; publish is guarded and reversible.</w:t>
      </w:r>
    </w:p>
    <w:p>
      <w:pPr>
        <w:pStyle w:val="ListParagraph"/>
        <w:numPr>
          <w:ilvl w:val="0"/>
          <w:numId w:val="3"/>
        </w:numPr>
        <w:spacing w:after="50" w:line="268"/>
      </w:pPr>
      <w:r>
        <w:rPr>
          <w:color w:val="444444"/>
          <w:sz w:val="20"/>
          <w:szCs w:val="20"/>
        </w:rPr>
        <w:t xml:space="preserve">Audit everything sensitive, with mandatory reasons where a human overrides an outcome.</w:t>
      </w:r>
    </w:p>
    <w:p>
      <w:pPr>
        <w:pStyle w:val="ListParagraph"/>
        <w:numPr>
          <w:ilvl w:val="0"/>
          <w:numId w:val="3"/>
        </w:numPr>
        <w:spacing w:after="50" w:line="268"/>
      </w:pPr>
      <w:r>
        <w:rPr>
          <w:color w:val="444444"/>
          <w:sz w:val="20"/>
          <w:szCs w:val="20"/>
        </w:rPr>
        <w:t xml:space="preserve">Silence is never destructive — absence from an import never deletes or deactivates anyone.</w:t>
      </w:r>
    </w:p>
    <w:p>
      <w:pPr>
        <w:spacing w:after="160"/>
      </w:pPr>
      <w:r>
        <w:rPr>
          <w:sz w:val="2"/>
          <w:szCs w:val="2"/>
        </w:rPr>
        <w:t xml:space="preserve"/>
      </w:r>
    </w:p>
    <w:p>
      <w:pPr>
        <w:jc w:val="center"/>
      </w:pPr>
      <w:r>
        <w:rPr>
          <w:i/>
          <w:iCs/>
          <w:color w:val="999999"/>
          <w:sz w:val="20"/>
          <w:szCs w:val="20"/>
        </w:rPr>
        <w:t xml:space="preserve">End of specification (v1.0).</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5A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E3D6" w:sz="4"/>
      </w:pBdr>
      <w:jc w:val="right"/>
    </w:pPr>
    <w:r>
      <w:rPr>
        <w:color w:val="9AA5A0"/>
        <w:sz w:val="15"/>
        <w:szCs w:val="15"/>
      </w:rPr>
      <w:t xml:space="preserve">Performance Management System — Functional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F9D55"/>
      </w:rPr>
    </w:lvl>
    <w:lvl w:ilvl="1" w15:tentative="1">
      <w:start w:val="1"/>
      <w:numFmt w:val="bullet"/>
      <w:lvlText w:val="◦"/>
      <w:lvlJc w:val="left"/>
      <w:pPr>
        <w:ind w:left="920" w:hanging="260"/>
      </w:pPr>
      <w:rPr>
        <w:color w:val="1F9D55"/>
      </w:rPr>
    </w:lvl>
  </w:abstractNum>
  <w:abstractNum w:abstractNumId="3" w15:restartNumberingAfterBreak="0">
    <w:multiLevelType w:val="hybridMultilevel"/>
    <w:lvl w:ilvl="0" w15:tentative="1">
      <w:start w:val="1"/>
      <w:numFmt w:val="decimal"/>
      <w:lvlText w:val="%1."/>
      <w:lvlJc w:val="left"/>
      <w:pPr>
        <w:ind w:left="460" w:hanging="300"/>
      </w:pPr>
      <w:rPr>
        <w:b/>
        <w:bCs/>
        <w:color w:val="127A41"/>
      </w:rPr>
    </w:lvl>
    <w:lvl w:ilvl="1" w15:tentative="1">
      <w:start w:val="1"/>
      <w:numFmt w:val="lowerLetter"/>
      <w:lvlText w:val="%2."/>
      <w:lvlJc w:val="left"/>
      <w:pPr>
        <w:ind w:left="9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Management System — Functional Specification</dc:title>
  <dc:creator>Performance Management System Spec</dc:creator>
  <cp:lastModifiedBy>Un-named</cp:lastModifiedBy>
  <cp:revision>1</cp:revision>
  <dcterms:created xsi:type="dcterms:W3CDTF">2026-08-24T05:25:58.802Z</dcterms:created>
  <dcterms:modified xsi:type="dcterms:W3CDTF">2026-08-24T05:25:58.815Z</dcterms:modified>
</cp:coreProperties>
</file>

<file path=docProps/custom.xml><?xml version="1.0" encoding="utf-8"?>
<Properties xmlns="http://schemas.openxmlformats.org/officeDocument/2006/custom-properties" xmlns:vt="http://schemas.openxmlformats.org/officeDocument/2006/docPropsVTypes"/>
</file>