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107C41"/>
          <w:sz w:val="44"/>
        </w:rPr>
        <w:t>Customer Segmentation &amp; Performance Report</w:t>
      </w:r>
    </w:p>
    <w:p>
      <w:pPr>
        <w:spacing w:after="360"/>
      </w:pPr>
      <w:r>
        <w:rPr>
          <w:i/>
          <w:color w:val="6C757D"/>
          <w:sz w:val="19"/>
        </w:rPr>
        <w:t>Analysis Type: Customer RFM Segmentation &amp; Revenue Trend Analysis</w:t>
        <w:br/>
        <w:t>Dataset Coverage: 96,096 Customers  |  135K Items Sold  |  $16.01M Total Revenue</w:t>
      </w:r>
    </w:p>
    <w:p>
      <w:pPr>
        <w:keepNext/>
        <w:spacing w:before="320" w:after="120"/>
      </w:pPr>
      <w:r>
        <w:rPr>
          <w:rFonts w:ascii="Segoe UI" w:hAnsi="Segoe UI"/>
          <w:b/>
          <w:color w:val="107C41"/>
          <w:sz w:val="28"/>
        </w:rPr>
        <w:t>1. Executive Summary</w:t>
      </w:r>
    </w:p>
    <w:p>
      <w:pPr>
        <w:spacing w:after="120" w:line="276" w:lineRule="auto"/>
      </w:pPr>
      <w:r>
        <w:t>This report checks our two-year sales data to see how our customers buy and how well our marketing money is working. The data shows a risky pattern: 76.5% of our total sales ($12.24M) comes from shoppers who buy only once (the New Signups and Churned groups added together).</w:t>
      </w:r>
    </w:p>
    <w:p>
      <w:pPr>
        <w:spacing w:after="120" w:line="276" w:lineRule="auto"/>
      </w:pPr>
      <w:r>
        <w:t>Our Repeat Purchase Rate is very low at 3.12%, while our Churn Rate (customers who stopped buying) is high at 38.90%. Also, the number of lost customers grew right along with our total sales growth. To keep our income stable and save money, we must change our strategy from spending heavily on finding new buyers to keeping the buyers we already have.</w:t>
      </w:r>
    </w:p>
    <w:p>
      <w:pPr>
        <w:keepNext/>
        <w:spacing w:before="320" w:after="120"/>
      </w:pPr>
      <w:r>
        <w:rPr>
          <w:rFonts w:ascii="Segoe UI" w:hAnsi="Segoe UI"/>
          <w:b/>
          <w:color w:val="107C41"/>
          <w:sz w:val="28"/>
        </w:rPr>
        <w:t>2. Main Performance Metrics</w:t>
      </w:r>
    </w:p>
    <w:p>
      <w:pPr>
        <w:pStyle w:val="ListBullet"/>
        <w:spacing w:after="80" w:line="276" w:lineRule="auto"/>
      </w:pPr>
      <w:r>
        <w:rPr>
          <w:b/>
        </w:rPr>
        <w:t xml:space="preserve">Total Revenue: </w:t>
      </w:r>
      <w:r>
        <w:t>$16,010,000</w:t>
      </w:r>
    </w:p>
    <w:p>
      <w:pPr>
        <w:pStyle w:val="ListBullet"/>
        <w:spacing w:after="80" w:line="276" w:lineRule="auto"/>
      </w:pPr>
      <w:r>
        <w:rPr>
          <w:b/>
        </w:rPr>
        <w:t xml:space="preserve">Total Customers: </w:t>
      </w:r>
      <w:r>
        <w:t>96,096</w:t>
      </w:r>
    </w:p>
    <w:p>
      <w:pPr>
        <w:pStyle w:val="ListBullet"/>
        <w:spacing w:after="80" w:line="276" w:lineRule="auto"/>
      </w:pPr>
      <w:r>
        <w:rPr>
          <w:b/>
        </w:rPr>
        <w:t xml:space="preserve">Total Items Sold: </w:t>
      </w:r>
      <w:r>
        <w:t>135,000</w:t>
      </w:r>
    </w:p>
    <w:p>
      <w:pPr>
        <w:pStyle w:val="ListBullet"/>
        <w:spacing w:after="80" w:line="276" w:lineRule="auto"/>
      </w:pPr>
      <w:r>
        <w:rPr>
          <w:b/>
        </w:rPr>
        <w:t xml:space="preserve">Average Order Value (AOV): </w:t>
      </w:r>
      <w:r>
        <w:t>$160.99</w:t>
      </w:r>
    </w:p>
    <w:p>
      <w:pPr>
        <w:pStyle w:val="ListBullet"/>
        <w:spacing w:after="80" w:line="276" w:lineRule="auto"/>
      </w:pPr>
      <w:r>
        <w:rPr>
          <w:b/>
        </w:rPr>
        <w:t xml:space="preserve">Repeat Purchase Rate: </w:t>
      </w:r>
      <w:r>
        <w:t>3.12%</w:t>
      </w:r>
    </w:p>
    <w:p>
      <w:pPr>
        <w:pStyle w:val="ListBullet"/>
        <w:spacing w:after="80" w:line="276" w:lineRule="auto"/>
      </w:pPr>
      <w:r>
        <w:rPr>
          <w:b/>
        </w:rPr>
        <w:t xml:space="preserve">Churn Rate: </w:t>
      </w:r>
      <w:r>
        <w:t>38.90%</w:t>
      </w:r>
    </w:p>
    <w:p>
      <w:pPr>
        <w:keepNext/>
        <w:spacing w:before="320" w:after="120"/>
      </w:pPr>
      <w:r>
        <w:rPr>
          <w:rFonts w:ascii="Segoe UI" w:hAnsi="Segoe UI"/>
          <w:b/>
          <w:color w:val="107C41"/>
          <w:sz w:val="28"/>
        </w:rPr>
        <w:t>3. Customer Groups Breakdown</w:t>
      </w:r>
    </w:p>
    <w:p>
      <w:pPr>
        <w:spacing w:after="120" w:line="276" w:lineRule="auto"/>
      </w:pPr>
      <w:r>
        <w:t>Customers are divided into 10 groups based on how recently they bought, how often they buy, and how much money they spent in total.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1872"/>
            <w:vAlign w:val="center"/>
            <w:tcMar>
              <w:top w:w="100" w:type="dxa"/>
              <w:bottom w:w="100" w:type="dxa"/>
              <w:left w:w="120" w:type="dxa"/>
              <w:right w:w="120" w:type="dxa"/>
            </w:tcMar>
            <w:shd w:fill="107C41"/>
          </w:tcPr>
          <w:p>
            <w:pPr>
              <w:spacing w:after="0" w:before="0"/>
            </w:pPr>
            <w:r>
              <w:rPr>
                <w:b/>
                <w:color w:val="FFFFFF"/>
                <w:sz w:val="19"/>
              </w:rPr>
              <w:t>Customer Group</w:t>
            </w:r>
          </w:p>
        </w:tc>
        <w:tc>
          <w:tcPr>
            <w:tcW w:type="dxa" w:w="1152"/>
            <w:vAlign w:val="center"/>
            <w:tcMar>
              <w:top w:w="100" w:type="dxa"/>
              <w:bottom w:w="100" w:type="dxa"/>
              <w:left w:w="120" w:type="dxa"/>
              <w:right w:w="120" w:type="dxa"/>
            </w:tcMar>
            <w:shd w:fill="107C41"/>
          </w:tcPr>
          <w:p>
            <w:pPr>
              <w:spacing w:after="0" w:before="0"/>
            </w:pPr>
            <w:r>
              <w:rPr>
                <w:b/>
                <w:color w:val="FFFFFF"/>
                <w:sz w:val="19"/>
              </w:rPr>
              <w:t>Total Count</w:t>
            </w:r>
          </w:p>
        </w:tc>
        <w:tc>
          <w:tcPr>
            <w:tcW w:type="dxa" w:w="1008"/>
            <w:vAlign w:val="center"/>
            <w:tcMar>
              <w:top w:w="100" w:type="dxa"/>
              <w:bottom w:w="100" w:type="dxa"/>
              <w:left w:w="120" w:type="dxa"/>
              <w:right w:w="120" w:type="dxa"/>
            </w:tcMar>
            <w:shd w:fill="107C41"/>
          </w:tcPr>
          <w:p>
            <w:pPr>
              <w:spacing w:after="0" w:before="0"/>
            </w:pPr>
            <w:r>
              <w:rPr>
                <w:b/>
                <w:color w:val="FFFFFF"/>
                <w:sz w:val="19"/>
              </w:rPr>
              <w:t>% of Base</w:t>
            </w:r>
          </w:p>
        </w:tc>
        <w:tc>
          <w:tcPr>
            <w:tcW w:type="dxa" w:w="1584"/>
            <w:vAlign w:val="center"/>
            <w:tcMar>
              <w:top w:w="100" w:type="dxa"/>
              <w:bottom w:w="100" w:type="dxa"/>
              <w:left w:w="120" w:type="dxa"/>
              <w:right w:w="120" w:type="dxa"/>
            </w:tcMar>
            <w:shd w:fill="107C41"/>
          </w:tcPr>
          <w:p>
            <w:pPr>
              <w:spacing w:after="0" w:before="0"/>
            </w:pPr>
            <w:r>
              <w:rPr>
                <w:b/>
                <w:color w:val="FFFFFF"/>
                <w:sz w:val="19"/>
              </w:rPr>
              <w:t>Revenue Generated</w:t>
            </w:r>
          </w:p>
        </w:tc>
        <w:tc>
          <w:tcPr>
            <w:tcW w:type="dxa" w:w="1152"/>
            <w:vAlign w:val="center"/>
            <w:tcMar>
              <w:top w:w="100" w:type="dxa"/>
              <w:bottom w:w="100" w:type="dxa"/>
              <w:left w:w="120" w:type="dxa"/>
              <w:right w:w="120" w:type="dxa"/>
            </w:tcMar>
            <w:shd w:fill="107C41"/>
          </w:tcPr>
          <w:p>
            <w:pPr>
              <w:spacing w:after="0" w:before="0"/>
            </w:pPr>
            <w:r>
              <w:rPr>
                <w:b/>
                <w:color w:val="FFFFFF"/>
                <w:sz w:val="19"/>
              </w:rPr>
              <w:t>% of Revenue</w:t>
            </w:r>
          </w:p>
        </w:tc>
        <w:tc>
          <w:tcPr>
            <w:tcW w:type="dxa" w:w="2592"/>
            <w:vAlign w:val="center"/>
            <w:tcMar>
              <w:top w:w="100" w:type="dxa"/>
              <w:bottom w:w="100" w:type="dxa"/>
              <w:left w:w="120" w:type="dxa"/>
              <w:right w:w="120" w:type="dxa"/>
            </w:tcMar>
            <w:shd w:fill="107C41"/>
          </w:tcPr>
          <w:p>
            <w:pPr>
              <w:spacing w:after="0" w:before="0"/>
            </w:pPr>
            <w:r>
              <w:rPr>
                <w:b/>
                <w:color w:val="FFFFFF"/>
                <w:sz w:val="19"/>
              </w:rPr>
              <w:t>Current Status</w:t>
            </w:r>
          </w:p>
        </w:tc>
      </w:tr>
      <w:tr>
        <w:trPr>
          <w:cantSplit/>
        </w:trPr>
        <w:tc>
          <w:tcPr>
            <w:tcW w:type="dxa" w:w="1872"/>
            <w:vAlign w:val="center"/>
            <w:tcMar>
              <w:top w:w="100" w:type="dxa"/>
              <w:bottom w:w="100" w:type="dxa"/>
              <w:left w:w="120" w:type="dxa"/>
              <w:right w:w="120" w:type="dxa"/>
            </w:tcMar>
            <w:shd w:fill="F8F9FA"/>
          </w:tcPr>
          <w:p>
            <w:pPr>
              <w:spacing w:after="0" w:before="0"/>
            </w:pPr>
            <w:r>
              <w:rPr>
                <w:sz w:val="18"/>
              </w:rPr>
              <w:t>Churned</w:t>
            </w:r>
          </w:p>
        </w:tc>
        <w:tc>
          <w:tcPr>
            <w:tcW w:type="dxa" w:w="1152"/>
            <w:vAlign w:val="center"/>
            <w:tcMar>
              <w:top w:w="100" w:type="dxa"/>
              <w:bottom w:w="100" w:type="dxa"/>
              <w:left w:w="120" w:type="dxa"/>
              <w:right w:w="120" w:type="dxa"/>
            </w:tcMar>
            <w:shd w:fill="F8F9FA"/>
          </w:tcPr>
          <w:p>
            <w:pPr>
              <w:spacing w:after="0" w:before="0"/>
            </w:pPr>
            <w:r>
              <w:rPr>
                <w:sz w:val="18"/>
              </w:rPr>
              <w:t>37,384</w:t>
            </w:r>
          </w:p>
        </w:tc>
        <w:tc>
          <w:tcPr>
            <w:tcW w:type="dxa" w:w="1008"/>
            <w:vAlign w:val="center"/>
            <w:tcMar>
              <w:top w:w="100" w:type="dxa"/>
              <w:bottom w:w="100" w:type="dxa"/>
              <w:left w:w="120" w:type="dxa"/>
              <w:right w:w="120" w:type="dxa"/>
            </w:tcMar>
            <w:shd w:fill="F8F9FA"/>
          </w:tcPr>
          <w:p>
            <w:pPr>
              <w:spacing w:after="0" w:before="0"/>
            </w:pPr>
            <w:r>
              <w:rPr>
                <w:sz w:val="18"/>
              </w:rPr>
              <w:t>38.90%</w:t>
            </w:r>
          </w:p>
        </w:tc>
        <w:tc>
          <w:tcPr>
            <w:tcW w:type="dxa" w:w="1584"/>
            <w:vAlign w:val="center"/>
            <w:tcMar>
              <w:top w:w="100" w:type="dxa"/>
              <w:bottom w:w="100" w:type="dxa"/>
              <w:left w:w="120" w:type="dxa"/>
              <w:right w:w="120" w:type="dxa"/>
            </w:tcMar>
            <w:shd w:fill="F8F9FA"/>
          </w:tcPr>
          <w:p>
            <w:pPr>
              <w:spacing w:after="0" w:before="0"/>
            </w:pPr>
            <w:r>
              <w:rPr>
                <w:sz w:val="18"/>
              </w:rPr>
              <w:t>$6,100,000</w:t>
            </w:r>
          </w:p>
        </w:tc>
        <w:tc>
          <w:tcPr>
            <w:tcW w:type="dxa" w:w="1152"/>
            <w:vAlign w:val="center"/>
            <w:tcMar>
              <w:top w:w="100" w:type="dxa"/>
              <w:bottom w:w="100" w:type="dxa"/>
              <w:left w:w="120" w:type="dxa"/>
              <w:right w:w="120" w:type="dxa"/>
            </w:tcMar>
            <w:shd w:fill="F8F9FA"/>
          </w:tcPr>
          <w:p>
            <w:pPr>
              <w:spacing w:after="0" w:before="0"/>
            </w:pPr>
            <w:r>
              <w:rPr>
                <w:sz w:val="18"/>
              </w:rPr>
              <w:t>38.10%</w:t>
            </w:r>
          </w:p>
        </w:tc>
        <w:tc>
          <w:tcPr>
            <w:tcW w:type="dxa" w:w="2592"/>
            <w:vAlign w:val="center"/>
            <w:tcMar>
              <w:top w:w="100" w:type="dxa"/>
              <w:bottom w:w="100" w:type="dxa"/>
              <w:left w:w="120" w:type="dxa"/>
              <w:right w:w="120" w:type="dxa"/>
            </w:tcMar>
            <w:shd w:fill="F8F9FA"/>
          </w:tcPr>
          <w:p>
            <w:pPr>
              <w:spacing w:after="0" w:before="0"/>
            </w:pPr>
            <w:r>
              <w:rPr>
                <w:sz w:val="18"/>
              </w:rPr>
              <w:t>Stopped buying; single-purchase buyers</w:t>
            </w:r>
          </w:p>
        </w:tc>
      </w:tr>
      <w:tr>
        <w:trPr>
          <w:cantSplit/>
        </w:trPr>
        <w:tc>
          <w:tcPr>
            <w:tcW w:type="dxa" w:w="1872"/>
            <w:vAlign w:val="center"/>
            <w:tcMar>
              <w:top w:w="100" w:type="dxa"/>
              <w:bottom w:w="100" w:type="dxa"/>
              <w:left w:w="120" w:type="dxa"/>
              <w:right w:w="120" w:type="dxa"/>
            </w:tcMar>
            <w:shd w:fill="FFFFFF"/>
          </w:tcPr>
          <w:p>
            <w:pPr>
              <w:spacing w:after="0" w:before="0"/>
            </w:pPr>
            <w:r>
              <w:rPr>
                <w:sz w:val="18"/>
              </w:rPr>
              <w:t>New Signups</w:t>
            </w:r>
          </w:p>
        </w:tc>
        <w:tc>
          <w:tcPr>
            <w:tcW w:type="dxa" w:w="1152"/>
            <w:vAlign w:val="center"/>
            <w:tcMar>
              <w:top w:w="100" w:type="dxa"/>
              <w:bottom w:w="100" w:type="dxa"/>
              <w:left w:w="120" w:type="dxa"/>
              <w:right w:w="120" w:type="dxa"/>
            </w:tcMar>
            <w:shd w:fill="FFFFFF"/>
          </w:tcPr>
          <w:p>
            <w:pPr>
              <w:spacing w:after="0" w:before="0"/>
            </w:pPr>
            <w:r>
              <w:rPr>
                <w:sz w:val="18"/>
              </w:rPr>
              <w:t>37,134</w:t>
            </w:r>
          </w:p>
        </w:tc>
        <w:tc>
          <w:tcPr>
            <w:tcW w:type="dxa" w:w="1008"/>
            <w:vAlign w:val="center"/>
            <w:tcMar>
              <w:top w:w="100" w:type="dxa"/>
              <w:bottom w:w="100" w:type="dxa"/>
              <w:left w:w="120" w:type="dxa"/>
              <w:right w:w="120" w:type="dxa"/>
            </w:tcMar>
            <w:shd w:fill="FFFFFF"/>
          </w:tcPr>
          <w:p>
            <w:pPr>
              <w:spacing w:after="0" w:before="0"/>
            </w:pPr>
            <w:r>
              <w:rPr>
                <w:sz w:val="18"/>
              </w:rPr>
              <w:t>38.64%</w:t>
            </w:r>
          </w:p>
        </w:tc>
        <w:tc>
          <w:tcPr>
            <w:tcW w:type="dxa" w:w="1584"/>
            <w:vAlign w:val="center"/>
            <w:tcMar>
              <w:top w:w="100" w:type="dxa"/>
              <w:bottom w:w="100" w:type="dxa"/>
              <w:left w:w="120" w:type="dxa"/>
              <w:right w:w="120" w:type="dxa"/>
            </w:tcMar>
            <w:shd w:fill="FFFFFF"/>
          </w:tcPr>
          <w:p>
            <w:pPr>
              <w:spacing w:after="0" w:before="0"/>
            </w:pPr>
            <w:r>
              <w:rPr>
                <w:sz w:val="18"/>
              </w:rPr>
              <w:t>$6,140,000</w:t>
            </w:r>
          </w:p>
        </w:tc>
        <w:tc>
          <w:tcPr>
            <w:tcW w:type="dxa" w:w="1152"/>
            <w:vAlign w:val="center"/>
            <w:tcMar>
              <w:top w:w="100" w:type="dxa"/>
              <w:bottom w:w="100" w:type="dxa"/>
              <w:left w:w="120" w:type="dxa"/>
              <w:right w:w="120" w:type="dxa"/>
            </w:tcMar>
            <w:shd w:fill="FFFFFF"/>
          </w:tcPr>
          <w:p>
            <w:pPr>
              <w:spacing w:after="0" w:before="0"/>
            </w:pPr>
            <w:r>
              <w:rPr>
                <w:sz w:val="18"/>
              </w:rPr>
              <w:t>38.35%</w:t>
            </w:r>
          </w:p>
        </w:tc>
        <w:tc>
          <w:tcPr>
            <w:tcW w:type="dxa" w:w="2592"/>
            <w:vAlign w:val="center"/>
            <w:tcMar>
              <w:top w:w="100" w:type="dxa"/>
              <w:bottom w:w="100" w:type="dxa"/>
              <w:left w:w="120" w:type="dxa"/>
              <w:right w:w="120" w:type="dxa"/>
            </w:tcMar>
            <w:shd w:fill="FFFFFF"/>
          </w:tcPr>
          <w:p>
            <w:pPr>
              <w:spacing w:after="0" w:before="0"/>
            </w:pPr>
            <w:r>
              <w:rPr>
                <w:sz w:val="18"/>
              </w:rPr>
              <w:t>First-time recent buyers</w:t>
            </w:r>
          </w:p>
        </w:tc>
      </w:tr>
      <w:tr>
        <w:trPr>
          <w:cantSplit/>
        </w:trPr>
        <w:tc>
          <w:tcPr>
            <w:tcW w:type="dxa" w:w="1872"/>
            <w:vAlign w:val="center"/>
            <w:tcMar>
              <w:top w:w="100" w:type="dxa"/>
              <w:bottom w:w="100" w:type="dxa"/>
              <w:left w:w="120" w:type="dxa"/>
              <w:right w:w="120" w:type="dxa"/>
            </w:tcMar>
            <w:shd w:fill="F8F9FA"/>
          </w:tcPr>
          <w:p>
            <w:pPr>
              <w:spacing w:after="0" w:before="0"/>
            </w:pPr>
            <w:r>
              <w:rPr>
                <w:sz w:val="18"/>
              </w:rPr>
              <w:t>Casual Buyers</w:t>
            </w:r>
          </w:p>
        </w:tc>
        <w:tc>
          <w:tcPr>
            <w:tcW w:type="dxa" w:w="1152"/>
            <w:vAlign w:val="center"/>
            <w:tcMar>
              <w:top w:w="100" w:type="dxa"/>
              <w:bottom w:w="100" w:type="dxa"/>
              <w:left w:w="120" w:type="dxa"/>
              <w:right w:w="120" w:type="dxa"/>
            </w:tcMar>
            <w:shd w:fill="F8F9FA"/>
          </w:tcPr>
          <w:p>
            <w:pPr>
              <w:spacing w:after="0" w:before="0"/>
            </w:pPr>
            <w:r>
              <w:rPr>
                <w:sz w:val="18"/>
              </w:rPr>
              <w:t>18,580</w:t>
            </w:r>
          </w:p>
        </w:tc>
        <w:tc>
          <w:tcPr>
            <w:tcW w:type="dxa" w:w="1008"/>
            <w:vAlign w:val="center"/>
            <w:tcMar>
              <w:top w:w="100" w:type="dxa"/>
              <w:bottom w:w="100" w:type="dxa"/>
              <w:left w:w="120" w:type="dxa"/>
              <w:right w:w="120" w:type="dxa"/>
            </w:tcMar>
            <w:shd w:fill="F8F9FA"/>
          </w:tcPr>
          <w:p>
            <w:pPr>
              <w:spacing w:after="0" w:before="0"/>
            </w:pPr>
            <w:r>
              <w:rPr>
                <w:sz w:val="18"/>
              </w:rPr>
              <w:t>19.34%</w:t>
            </w:r>
          </w:p>
        </w:tc>
        <w:tc>
          <w:tcPr>
            <w:tcW w:type="dxa" w:w="1584"/>
            <w:vAlign w:val="center"/>
            <w:tcMar>
              <w:top w:w="100" w:type="dxa"/>
              <w:bottom w:w="100" w:type="dxa"/>
              <w:left w:w="120" w:type="dxa"/>
              <w:right w:w="120" w:type="dxa"/>
            </w:tcMar>
            <w:shd w:fill="F8F9FA"/>
          </w:tcPr>
          <w:p>
            <w:pPr>
              <w:spacing w:after="0" w:before="0"/>
            </w:pPr>
            <w:r>
              <w:rPr>
                <w:sz w:val="18"/>
              </w:rPr>
              <w:t>$2,830,000</w:t>
            </w:r>
          </w:p>
        </w:tc>
        <w:tc>
          <w:tcPr>
            <w:tcW w:type="dxa" w:w="1152"/>
            <w:vAlign w:val="center"/>
            <w:tcMar>
              <w:top w:w="100" w:type="dxa"/>
              <w:bottom w:w="100" w:type="dxa"/>
              <w:left w:w="120" w:type="dxa"/>
              <w:right w:w="120" w:type="dxa"/>
            </w:tcMar>
            <w:shd w:fill="F8F9FA"/>
          </w:tcPr>
          <w:p>
            <w:pPr>
              <w:spacing w:after="0" w:before="0"/>
            </w:pPr>
            <w:r>
              <w:rPr>
                <w:sz w:val="18"/>
              </w:rPr>
              <w:t>17.68%</w:t>
            </w:r>
          </w:p>
        </w:tc>
        <w:tc>
          <w:tcPr>
            <w:tcW w:type="dxa" w:w="2592"/>
            <w:vAlign w:val="center"/>
            <w:tcMar>
              <w:top w:w="100" w:type="dxa"/>
              <w:bottom w:w="100" w:type="dxa"/>
              <w:left w:w="120" w:type="dxa"/>
              <w:right w:w="120" w:type="dxa"/>
            </w:tcMar>
            <w:shd w:fill="F8F9FA"/>
          </w:tcPr>
          <w:p>
            <w:pPr>
              <w:spacing w:after="0" w:before="0"/>
            </w:pPr>
            <w:r>
              <w:rPr>
                <w:sz w:val="18"/>
              </w:rPr>
              <w:t>Low order count; medium spend</w:t>
            </w:r>
          </w:p>
        </w:tc>
      </w:tr>
      <w:tr>
        <w:trPr>
          <w:cantSplit/>
        </w:trPr>
        <w:tc>
          <w:tcPr>
            <w:tcW w:type="dxa" w:w="1872"/>
            <w:vAlign w:val="center"/>
            <w:tcMar>
              <w:top w:w="100" w:type="dxa"/>
              <w:bottom w:w="100" w:type="dxa"/>
              <w:left w:w="120" w:type="dxa"/>
              <w:right w:w="120" w:type="dxa"/>
            </w:tcMar>
            <w:shd w:fill="FFFFFF"/>
          </w:tcPr>
          <w:p>
            <w:pPr>
              <w:spacing w:after="0" w:before="0"/>
            </w:pPr>
            <w:r>
              <w:rPr>
                <w:sz w:val="18"/>
              </w:rPr>
              <w:t>Growing Spenders</w:t>
            </w:r>
          </w:p>
        </w:tc>
        <w:tc>
          <w:tcPr>
            <w:tcW w:type="dxa" w:w="1152"/>
            <w:vAlign w:val="center"/>
            <w:tcMar>
              <w:top w:w="100" w:type="dxa"/>
              <w:bottom w:w="100" w:type="dxa"/>
              <w:left w:w="120" w:type="dxa"/>
              <w:right w:w="120" w:type="dxa"/>
            </w:tcMar>
            <w:shd w:fill="FFFFFF"/>
          </w:tcPr>
          <w:p>
            <w:pPr>
              <w:spacing w:after="0" w:before="0"/>
            </w:pPr>
            <w:r>
              <w:rPr>
                <w:sz w:val="18"/>
              </w:rPr>
              <w:t>1,165</w:t>
            </w:r>
          </w:p>
        </w:tc>
        <w:tc>
          <w:tcPr>
            <w:tcW w:type="dxa" w:w="1008"/>
            <w:vAlign w:val="center"/>
            <w:tcMar>
              <w:top w:w="100" w:type="dxa"/>
              <w:bottom w:w="100" w:type="dxa"/>
              <w:left w:w="120" w:type="dxa"/>
              <w:right w:w="120" w:type="dxa"/>
            </w:tcMar>
            <w:shd w:fill="FFFFFF"/>
          </w:tcPr>
          <w:p>
            <w:pPr>
              <w:spacing w:after="0" w:before="0"/>
            </w:pPr>
            <w:r>
              <w:rPr>
                <w:sz w:val="18"/>
              </w:rPr>
              <w:t>1.21%</w:t>
            </w:r>
          </w:p>
        </w:tc>
        <w:tc>
          <w:tcPr>
            <w:tcW w:type="dxa" w:w="1584"/>
            <w:vAlign w:val="center"/>
            <w:tcMar>
              <w:top w:w="100" w:type="dxa"/>
              <w:bottom w:w="100" w:type="dxa"/>
              <w:left w:w="120" w:type="dxa"/>
              <w:right w:w="120" w:type="dxa"/>
            </w:tcMar>
            <w:shd w:fill="FFFFFF"/>
          </w:tcPr>
          <w:p>
            <w:pPr>
              <w:spacing w:after="0" w:before="0"/>
            </w:pPr>
            <w:r>
              <w:rPr>
                <w:sz w:val="18"/>
              </w:rPr>
              <w:t>$350,000</w:t>
            </w:r>
          </w:p>
        </w:tc>
        <w:tc>
          <w:tcPr>
            <w:tcW w:type="dxa" w:w="1152"/>
            <w:vAlign w:val="center"/>
            <w:tcMar>
              <w:top w:w="100" w:type="dxa"/>
              <w:bottom w:w="100" w:type="dxa"/>
              <w:left w:w="120" w:type="dxa"/>
              <w:right w:w="120" w:type="dxa"/>
            </w:tcMar>
            <w:shd w:fill="FFFFFF"/>
          </w:tcPr>
          <w:p>
            <w:pPr>
              <w:spacing w:after="0" w:before="0"/>
            </w:pPr>
            <w:r>
              <w:rPr>
                <w:sz w:val="18"/>
              </w:rPr>
              <w:t>2.19%</w:t>
            </w:r>
          </w:p>
        </w:tc>
        <w:tc>
          <w:tcPr>
            <w:tcW w:type="dxa" w:w="2592"/>
            <w:vAlign w:val="center"/>
            <w:tcMar>
              <w:top w:w="100" w:type="dxa"/>
              <w:bottom w:w="100" w:type="dxa"/>
              <w:left w:w="120" w:type="dxa"/>
              <w:right w:w="120" w:type="dxa"/>
            </w:tcMar>
            <w:shd w:fill="FFFFFF"/>
          </w:tcPr>
          <w:p>
            <w:pPr>
              <w:spacing w:after="0" w:before="0"/>
            </w:pPr>
            <w:r>
              <w:rPr>
                <w:sz w:val="18"/>
              </w:rPr>
              <w:t>Spending more and buying more often</w:t>
            </w:r>
          </w:p>
        </w:tc>
      </w:tr>
      <w:tr>
        <w:trPr>
          <w:cantSplit/>
        </w:trPr>
        <w:tc>
          <w:tcPr>
            <w:tcW w:type="dxa" w:w="1872"/>
            <w:vAlign w:val="center"/>
            <w:tcMar>
              <w:top w:w="100" w:type="dxa"/>
              <w:bottom w:w="100" w:type="dxa"/>
              <w:left w:w="120" w:type="dxa"/>
              <w:right w:w="120" w:type="dxa"/>
            </w:tcMar>
            <w:shd w:fill="F8F9FA"/>
          </w:tcPr>
          <w:p>
            <w:pPr>
              <w:spacing w:after="0" w:before="0"/>
            </w:pPr>
            <w:r>
              <w:rPr>
                <w:sz w:val="18"/>
              </w:rPr>
              <w:t>Fading Customers</w:t>
            </w:r>
          </w:p>
        </w:tc>
        <w:tc>
          <w:tcPr>
            <w:tcW w:type="dxa" w:w="1152"/>
            <w:vAlign w:val="center"/>
            <w:tcMar>
              <w:top w:w="100" w:type="dxa"/>
              <w:bottom w:w="100" w:type="dxa"/>
              <w:left w:w="120" w:type="dxa"/>
              <w:right w:w="120" w:type="dxa"/>
            </w:tcMar>
            <w:shd w:fill="F8F9FA"/>
          </w:tcPr>
          <w:p>
            <w:pPr>
              <w:spacing w:after="0" w:before="0"/>
            </w:pPr>
            <w:r>
              <w:rPr>
                <w:sz w:val="18"/>
              </w:rPr>
              <w:t>980</w:t>
            </w:r>
          </w:p>
        </w:tc>
        <w:tc>
          <w:tcPr>
            <w:tcW w:type="dxa" w:w="1008"/>
            <w:vAlign w:val="center"/>
            <w:tcMar>
              <w:top w:w="100" w:type="dxa"/>
              <w:bottom w:w="100" w:type="dxa"/>
              <w:left w:w="120" w:type="dxa"/>
              <w:right w:w="120" w:type="dxa"/>
            </w:tcMar>
            <w:shd w:fill="F8F9FA"/>
          </w:tcPr>
          <w:p>
            <w:pPr>
              <w:spacing w:after="0" w:before="0"/>
            </w:pPr>
            <w:r>
              <w:rPr>
                <w:sz w:val="18"/>
              </w:rPr>
              <w:t>1.02%</w:t>
            </w:r>
          </w:p>
        </w:tc>
        <w:tc>
          <w:tcPr>
            <w:tcW w:type="dxa" w:w="1584"/>
            <w:vAlign w:val="center"/>
            <w:tcMar>
              <w:top w:w="100" w:type="dxa"/>
              <w:bottom w:w="100" w:type="dxa"/>
              <w:left w:w="120" w:type="dxa"/>
              <w:right w:w="120" w:type="dxa"/>
            </w:tcMar>
            <w:shd w:fill="F8F9FA"/>
          </w:tcPr>
          <w:p>
            <w:pPr>
              <w:spacing w:after="0" w:before="0"/>
            </w:pPr>
            <w:r>
              <w:rPr>
                <w:sz w:val="18"/>
              </w:rPr>
              <w:t>$290,000</w:t>
            </w:r>
          </w:p>
        </w:tc>
        <w:tc>
          <w:tcPr>
            <w:tcW w:type="dxa" w:w="1152"/>
            <w:vAlign w:val="center"/>
            <w:tcMar>
              <w:top w:w="100" w:type="dxa"/>
              <w:bottom w:w="100" w:type="dxa"/>
              <w:left w:w="120" w:type="dxa"/>
              <w:right w:w="120" w:type="dxa"/>
            </w:tcMar>
            <w:shd w:fill="F8F9FA"/>
          </w:tcPr>
          <w:p>
            <w:pPr>
              <w:spacing w:after="0" w:before="0"/>
            </w:pPr>
            <w:r>
              <w:rPr>
                <w:sz w:val="18"/>
              </w:rPr>
              <w:t>1.81%</w:t>
            </w:r>
          </w:p>
        </w:tc>
        <w:tc>
          <w:tcPr>
            <w:tcW w:type="dxa" w:w="2592"/>
            <w:vAlign w:val="center"/>
            <w:tcMar>
              <w:top w:w="100" w:type="dxa"/>
              <w:bottom w:w="100" w:type="dxa"/>
              <w:left w:w="120" w:type="dxa"/>
              <w:right w:w="120" w:type="dxa"/>
            </w:tcMar>
            <w:shd w:fill="F8F9FA"/>
          </w:tcPr>
          <w:p>
            <w:pPr>
              <w:spacing w:after="0" w:before="0"/>
            </w:pPr>
            <w:r>
              <w:rPr>
                <w:sz w:val="18"/>
              </w:rPr>
              <w:t>Past repeat buyers becoming inactive</w:t>
            </w:r>
          </w:p>
        </w:tc>
      </w:tr>
      <w:tr>
        <w:trPr>
          <w:cantSplit/>
        </w:trPr>
        <w:tc>
          <w:tcPr>
            <w:tcW w:type="dxa" w:w="1872"/>
            <w:vAlign w:val="center"/>
            <w:tcMar>
              <w:top w:w="100" w:type="dxa"/>
              <w:bottom w:w="100" w:type="dxa"/>
              <w:left w:w="120" w:type="dxa"/>
              <w:right w:w="120" w:type="dxa"/>
            </w:tcMar>
            <w:shd w:fill="FFFFFF"/>
          </w:tcPr>
          <w:p>
            <w:pPr>
              <w:spacing w:after="0" w:before="0"/>
            </w:pPr>
            <w:r>
              <w:rPr>
                <w:sz w:val="18"/>
              </w:rPr>
              <w:t>Occasional Buyers</w:t>
            </w:r>
          </w:p>
        </w:tc>
        <w:tc>
          <w:tcPr>
            <w:tcW w:type="dxa" w:w="1152"/>
            <w:vAlign w:val="center"/>
            <w:tcMar>
              <w:top w:w="100" w:type="dxa"/>
              <w:bottom w:w="100" w:type="dxa"/>
              <w:left w:w="120" w:type="dxa"/>
              <w:right w:w="120" w:type="dxa"/>
            </w:tcMar>
            <w:shd w:fill="FFFFFF"/>
          </w:tcPr>
          <w:p>
            <w:pPr>
              <w:spacing w:after="0" w:before="0"/>
            </w:pPr>
            <w:r>
              <w:rPr>
                <w:sz w:val="18"/>
              </w:rPr>
              <w:t>600</w:t>
            </w:r>
          </w:p>
        </w:tc>
        <w:tc>
          <w:tcPr>
            <w:tcW w:type="dxa" w:w="1008"/>
            <w:vAlign w:val="center"/>
            <w:tcMar>
              <w:top w:w="100" w:type="dxa"/>
              <w:bottom w:w="100" w:type="dxa"/>
              <w:left w:w="120" w:type="dxa"/>
              <w:right w:w="120" w:type="dxa"/>
            </w:tcMar>
            <w:shd w:fill="FFFFFF"/>
          </w:tcPr>
          <w:p>
            <w:pPr>
              <w:spacing w:after="0" w:before="0"/>
            </w:pPr>
            <w:r>
              <w:rPr>
                <w:sz w:val="18"/>
              </w:rPr>
              <w:t>0.62%</w:t>
            </w:r>
          </w:p>
        </w:tc>
        <w:tc>
          <w:tcPr>
            <w:tcW w:type="dxa" w:w="1584"/>
            <w:vAlign w:val="center"/>
            <w:tcMar>
              <w:top w:w="100" w:type="dxa"/>
              <w:bottom w:w="100" w:type="dxa"/>
              <w:left w:w="120" w:type="dxa"/>
              <w:right w:w="120" w:type="dxa"/>
            </w:tcMar>
            <w:shd w:fill="FFFFFF"/>
          </w:tcPr>
          <w:p>
            <w:pPr>
              <w:spacing w:after="0" w:before="0"/>
            </w:pPr>
            <w:r>
              <w:rPr>
                <w:sz w:val="18"/>
              </w:rPr>
              <w:t>$180,000</w:t>
            </w:r>
          </w:p>
        </w:tc>
        <w:tc>
          <w:tcPr>
            <w:tcW w:type="dxa" w:w="1152"/>
            <w:vAlign w:val="center"/>
            <w:tcMar>
              <w:top w:w="100" w:type="dxa"/>
              <w:bottom w:w="100" w:type="dxa"/>
              <w:left w:w="120" w:type="dxa"/>
              <w:right w:w="120" w:type="dxa"/>
            </w:tcMar>
            <w:shd w:fill="FFFFFF"/>
          </w:tcPr>
          <w:p>
            <w:pPr>
              <w:spacing w:after="0" w:before="0"/>
            </w:pPr>
            <w:r>
              <w:rPr>
                <w:sz w:val="18"/>
              </w:rPr>
              <w:t>1.12%</w:t>
            </w:r>
          </w:p>
        </w:tc>
        <w:tc>
          <w:tcPr>
            <w:tcW w:type="dxa" w:w="2592"/>
            <w:vAlign w:val="center"/>
            <w:tcMar>
              <w:top w:w="100" w:type="dxa"/>
              <w:bottom w:w="100" w:type="dxa"/>
              <w:left w:w="120" w:type="dxa"/>
              <w:right w:w="120" w:type="dxa"/>
            </w:tcMar>
            <w:shd w:fill="FFFFFF"/>
          </w:tcPr>
          <w:p>
            <w:pPr>
              <w:spacing w:after="0" w:before="0"/>
            </w:pPr>
            <w:r>
              <w:rPr>
                <w:sz w:val="18"/>
              </w:rPr>
              <w:t>Infrequent, low-spend buyers</w:t>
            </w:r>
          </w:p>
        </w:tc>
      </w:tr>
      <w:tr>
        <w:trPr>
          <w:cantSplit/>
        </w:trPr>
        <w:tc>
          <w:tcPr>
            <w:tcW w:type="dxa" w:w="1872"/>
            <w:vAlign w:val="center"/>
            <w:tcMar>
              <w:top w:w="100" w:type="dxa"/>
              <w:bottom w:w="100" w:type="dxa"/>
              <w:left w:w="120" w:type="dxa"/>
              <w:right w:w="120" w:type="dxa"/>
            </w:tcMar>
            <w:shd w:fill="F8F9FA"/>
          </w:tcPr>
          <w:p>
            <w:pPr>
              <w:spacing w:after="0" w:before="0"/>
            </w:pPr>
            <w:r>
              <w:rPr>
                <w:sz w:val="18"/>
              </w:rPr>
              <w:t>Loyal Customers</w:t>
            </w:r>
          </w:p>
        </w:tc>
        <w:tc>
          <w:tcPr>
            <w:tcW w:type="dxa" w:w="1152"/>
            <w:vAlign w:val="center"/>
            <w:tcMar>
              <w:top w:w="100" w:type="dxa"/>
              <w:bottom w:w="100" w:type="dxa"/>
              <w:left w:w="120" w:type="dxa"/>
              <w:right w:w="120" w:type="dxa"/>
            </w:tcMar>
            <w:shd w:fill="F8F9FA"/>
          </w:tcPr>
          <w:p>
            <w:pPr>
              <w:spacing w:after="0" w:before="0"/>
            </w:pPr>
            <w:r>
              <w:rPr>
                <w:sz w:val="18"/>
              </w:rPr>
              <w:t>144</w:t>
            </w:r>
          </w:p>
        </w:tc>
        <w:tc>
          <w:tcPr>
            <w:tcW w:type="dxa" w:w="1008"/>
            <w:vAlign w:val="center"/>
            <w:tcMar>
              <w:top w:w="100" w:type="dxa"/>
              <w:bottom w:w="100" w:type="dxa"/>
              <w:left w:w="120" w:type="dxa"/>
              <w:right w:w="120" w:type="dxa"/>
            </w:tcMar>
            <w:shd w:fill="F8F9FA"/>
          </w:tcPr>
          <w:p>
            <w:pPr>
              <w:spacing w:after="0" w:before="0"/>
            </w:pPr>
            <w:r>
              <w:rPr>
                <w:sz w:val="18"/>
              </w:rPr>
              <w:t>0.15%</w:t>
            </w:r>
          </w:p>
        </w:tc>
        <w:tc>
          <w:tcPr>
            <w:tcW w:type="dxa" w:w="1584"/>
            <w:vAlign w:val="center"/>
            <w:tcMar>
              <w:top w:w="100" w:type="dxa"/>
              <w:bottom w:w="100" w:type="dxa"/>
              <w:left w:w="120" w:type="dxa"/>
              <w:right w:w="120" w:type="dxa"/>
            </w:tcMar>
            <w:shd w:fill="F8F9FA"/>
          </w:tcPr>
          <w:p>
            <w:pPr>
              <w:spacing w:after="0" w:before="0"/>
            </w:pPr>
            <w:r>
              <w:rPr>
                <w:sz w:val="18"/>
              </w:rPr>
              <w:t>$70,000</w:t>
            </w:r>
          </w:p>
        </w:tc>
        <w:tc>
          <w:tcPr>
            <w:tcW w:type="dxa" w:w="1152"/>
            <w:vAlign w:val="center"/>
            <w:tcMar>
              <w:top w:w="100" w:type="dxa"/>
              <w:bottom w:w="100" w:type="dxa"/>
              <w:left w:w="120" w:type="dxa"/>
              <w:right w:w="120" w:type="dxa"/>
            </w:tcMar>
            <w:shd w:fill="F8F9FA"/>
          </w:tcPr>
          <w:p>
            <w:pPr>
              <w:spacing w:after="0" w:before="0"/>
            </w:pPr>
            <w:r>
              <w:rPr>
                <w:sz w:val="18"/>
              </w:rPr>
              <w:t>0.44%</w:t>
            </w:r>
          </w:p>
        </w:tc>
        <w:tc>
          <w:tcPr>
            <w:tcW w:type="dxa" w:w="2592"/>
            <w:vAlign w:val="center"/>
            <w:tcMar>
              <w:top w:w="100" w:type="dxa"/>
              <w:bottom w:w="100" w:type="dxa"/>
              <w:left w:w="120" w:type="dxa"/>
              <w:right w:w="120" w:type="dxa"/>
            </w:tcMar>
            <w:shd w:fill="F8F9FA"/>
          </w:tcPr>
          <w:p>
            <w:pPr>
              <w:spacing w:after="0" w:before="0"/>
            </w:pPr>
            <w:r>
              <w:rPr>
                <w:sz w:val="18"/>
              </w:rPr>
              <w:t>High value; regular repeat buyers</w:t>
            </w:r>
          </w:p>
        </w:tc>
      </w:tr>
      <w:tr>
        <w:trPr>
          <w:cantSplit/>
        </w:trPr>
        <w:tc>
          <w:tcPr>
            <w:tcW w:type="dxa" w:w="1872"/>
            <w:vAlign w:val="center"/>
            <w:tcMar>
              <w:top w:w="100" w:type="dxa"/>
              <w:bottom w:w="100" w:type="dxa"/>
              <w:left w:w="120" w:type="dxa"/>
              <w:right w:w="120" w:type="dxa"/>
            </w:tcMar>
            <w:shd w:fill="FFFFFF"/>
          </w:tcPr>
          <w:p>
            <w:pPr>
              <w:spacing w:after="0" w:before="0"/>
            </w:pPr>
            <w:r>
              <w:rPr>
                <w:sz w:val="18"/>
              </w:rPr>
              <w:t>At-Risk Loyal</w:t>
            </w:r>
          </w:p>
        </w:tc>
        <w:tc>
          <w:tcPr>
            <w:tcW w:type="dxa" w:w="1152"/>
            <w:vAlign w:val="center"/>
            <w:tcMar>
              <w:top w:w="100" w:type="dxa"/>
              <w:bottom w:w="100" w:type="dxa"/>
              <w:left w:w="120" w:type="dxa"/>
              <w:right w:w="120" w:type="dxa"/>
            </w:tcMar>
            <w:shd w:fill="FFFFFF"/>
          </w:tcPr>
          <w:p>
            <w:pPr>
              <w:spacing w:after="0" w:before="0"/>
            </w:pPr>
            <w:r>
              <w:rPr>
                <w:sz w:val="18"/>
              </w:rPr>
              <w:t>74</w:t>
            </w:r>
          </w:p>
        </w:tc>
        <w:tc>
          <w:tcPr>
            <w:tcW w:type="dxa" w:w="1008"/>
            <w:vAlign w:val="center"/>
            <w:tcMar>
              <w:top w:w="100" w:type="dxa"/>
              <w:bottom w:w="100" w:type="dxa"/>
              <w:left w:w="120" w:type="dxa"/>
              <w:right w:w="120" w:type="dxa"/>
            </w:tcMar>
            <w:shd w:fill="FFFFFF"/>
          </w:tcPr>
          <w:p>
            <w:pPr>
              <w:spacing w:after="0" w:before="0"/>
            </w:pPr>
            <w:r>
              <w:rPr>
                <w:sz w:val="18"/>
              </w:rPr>
              <w:t>0.08%</w:t>
            </w:r>
          </w:p>
        </w:tc>
        <w:tc>
          <w:tcPr>
            <w:tcW w:type="dxa" w:w="1584"/>
            <w:vAlign w:val="center"/>
            <w:tcMar>
              <w:top w:w="100" w:type="dxa"/>
              <w:bottom w:w="100" w:type="dxa"/>
              <w:left w:w="120" w:type="dxa"/>
              <w:right w:w="120" w:type="dxa"/>
            </w:tcMar>
            <w:shd w:fill="FFFFFF"/>
          </w:tcPr>
          <w:p>
            <w:pPr>
              <w:spacing w:after="0" w:before="0"/>
            </w:pPr>
            <w:r>
              <w:rPr>
                <w:sz w:val="18"/>
              </w:rPr>
              <w:t>$30,000</w:t>
            </w:r>
          </w:p>
        </w:tc>
        <w:tc>
          <w:tcPr>
            <w:tcW w:type="dxa" w:w="1152"/>
            <w:vAlign w:val="center"/>
            <w:tcMar>
              <w:top w:w="100" w:type="dxa"/>
              <w:bottom w:w="100" w:type="dxa"/>
              <w:left w:w="120" w:type="dxa"/>
              <w:right w:w="120" w:type="dxa"/>
            </w:tcMar>
            <w:shd w:fill="FFFFFF"/>
          </w:tcPr>
          <w:p>
            <w:pPr>
              <w:spacing w:after="0" w:before="0"/>
            </w:pPr>
            <w:r>
              <w:rPr>
                <w:sz w:val="18"/>
              </w:rPr>
              <w:t>0.19%</w:t>
            </w:r>
          </w:p>
        </w:tc>
        <w:tc>
          <w:tcPr>
            <w:tcW w:type="dxa" w:w="2592"/>
            <w:vAlign w:val="center"/>
            <w:tcMar>
              <w:top w:w="100" w:type="dxa"/>
              <w:bottom w:w="100" w:type="dxa"/>
              <w:left w:w="120" w:type="dxa"/>
              <w:right w:w="120" w:type="dxa"/>
            </w:tcMar>
            <w:shd w:fill="FFFFFF"/>
          </w:tcPr>
          <w:p>
            <w:pPr>
              <w:spacing w:after="0" w:before="0"/>
            </w:pPr>
            <w:r>
              <w:rPr>
                <w:sz w:val="18"/>
              </w:rPr>
              <w:t>High value; overdue for a new order</w:t>
            </w:r>
          </w:p>
        </w:tc>
      </w:tr>
      <w:tr>
        <w:trPr>
          <w:cantSplit/>
        </w:trPr>
        <w:tc>
          <w:tcPr>
            <w:tcW w:type="dxa" w:w="1872"/>
            <w:vAlign w:val="center"/>
            <w:tcMar>
              <w:top w:w="100" w:type="dxa"/>
              <w:bottom w:w="100" w:type="dxa"/>
              <w:left w:w="120" w:type="dxa"/>
              <w:right w:w="120" w:type="dxa"/>
            </w:tcMar>
            <w:shd w:fill="F8F9FA"/>
          </w:tcPr>
          <w:p>
            <w:pPr>
              <w:spacing w:after="0" w:before="0"/>
            </w:pPr>
            <w:r>
              <w:rPr>
                <w:sz w:val="18"/>
              </w:rPr>
              <w:t>Champions</w:t>
            </w:r>
          </w:p>
        </w:tc>
        <w:tc>
          <w:tcPr>
            <w:tcW w:type="dxa" w:w="1152"/>
            <w:vAlign w:val="center"/>
            <w:tcMar>
              <w:top w:w="100" w:type="dxa"/>
              <w:bottom w:w="100" w:type="dxa"/>
              <w:left w:w="120" w:type="dxa"/>
              <w:right w:w="120" w:type="dxa"/>
            </w:tcMar>
            <w:shd w:fill="F8F9FA"/>
          </w:tcPr>
          <w:p>
            <w:pPr>
              <w:spacing w:after="0" w:before="0"/>
            </w:pPr>
            <w:r>
              <w:rPr>
                <w:sz w:val="18"/>
              </w:rPr>
              <w:t>34</w:t>
            </w:r>
          </w:p>
        </w:tc>
        <w:tc>
          <w:tcPr>
            <w:tcW w:type="dxa" w:w="1008"/>
            <w:vAlign w:val="center"/>
            <w:tcMar>
              <w:top w:w="100" w:type="dxa"/>
              <w:bottom w:w="100" w:type="dxa"/>
              <w:left w:w="120" w:type="dxa"/>
              <w:right w:w="120" w:type="dxa"/>
            </w:tcMar>
            <w:shd w:fill="F8F9FA"/>
          </w:tcPr>
          <w:p>
            <w:pPr>
              <w:spacing w:after="0" w:before="0"/>
            </w:pPr>
            <w:r>
              <w:rPr>
                <w:sz w:val="18"/>
              </w:rPr>
              <w:t>0.04%</w:t>
            </w:r>
          </w:p>
        </w:tc>
        <w:tc>
          <w:tcPr>
            <w:tcW w:type="dxa" w:w="1584"/>
            <w:vAlign w:val="center"/>
            <w:tcMar>
              <w:top w:w="100" w:type="dxa"/>
              <w:bottom w:w="100" w:type="dxa"/>
              <w:left w:w="120" w:type="dxa"/>
              <w:right w:w="120" w:type="dxa"/>
            </w:tcMar>
            <w:shd w:fill="F8F9FA"/>
          </w:tcPr>
          <w:p>
            <w:pPr>
              <w:spacing w:after="0" w:before="0"/>
            </w:pPr>
            <w:r>
              <w:rPr>
                <w:sz w:val="18"/>
              </w:rPr>
              <w:t>$30,000</w:t>
            </w:r>
          </w:p>
        </w:tc>
        <w:tc>
          <w:tcPr>
            <w:tcW w:type="dxa" w:w="1152"/>
            <w:vAlign w:val="center"/>
            <w:tcMar>
              <w:top w:w="100" w:type="dxa"/>
              <w:bottom w:w="100" w:type="dxa"/>
              <w:left w:w="120" w:type="dxa"/>
              <w:right w:w="120" w:type="dxa"/>
            </w:tcMar>
            <w:shd w:fill="F8F9FA"/>
          </w:tcPr>
          <w:p>
            <w:pPr>
              <w:spacing w:after="0" w:before="0"/>
            </w:pPr>
            <w:r>
              <w:rPr>
                <w:sz w:val="18"/>
              </w:rPr>
              <w:t>0.19%</w:t>
            </w:r>
          </w:p>
        </w:tc>
        <w:tc>
          <w:tcPr>
            <w:tcW w:type="dxa" w:w="2592"/>
            <w:vAlign w:val="center"/>
            <w:tcMar>
              <w:top w:w="100" w:type="dxa"/>
              <w:bottom w:w="100" w:type="dxa"/>
              <w:left w:w="120" w:type="dxa"/>
              <w:right w:w="120" w:type="dxa"/>
            </w:tcMar>
            <w:shd w:fill="F8F9FA"/>
          </w:tcPr>
          <w:p>
            <w:pPr>
              <w:spacing w:after="0" w:before="0"/>
            </w:pPr>
            <w:r>
              <w:rPr>
                <w:sz w:val="18"/>
              </w:rPr>
              <w:t>Highest value and most frequent buyers</w:t>
            </w:r>
          </w:p>
        </w:tc>
      </w:tr>
      <w:tr>
        <w:trPr>
          <w:cantSplit/>
        </w:trPr>
        <w:tc>
          <w:tcPr>
            <w:tcW w:type="dxa" w:w="1872"/>
            <w:vAlign w:val="center"/>
            <w:tcMar>
              <w:top w:w="100" w:type="dxa"/>
              <w:bottom w:w="100" w:type="dxa"/>
              <w:left w:w="120" w:type="dxa"/>
              <w:right w:w="120" w:type="dxa"/>
            </w:tcMar>
            <w:shd w:fill="E9ECEF"/>
          </w:tcPr>
          <w:p>
            <w:pPr>
              <w:spacing w:after="0" w:before="0"/>
            </w:pPr>
            <w:r>
              <w:rPr>
                <w:b/>
                <w:sz w:val="19"/>
              </w:rPr>
              <w:t>Total Base</w:t>
            </w:r>
          </w:p>
        </w:tc>
        <w:tc>
          <w:tcPr>
            <w:tcW w:type="dxa" w:w="1152"/>
            <w:vAlign w:val="center"/>
            <w:tcMar>
              <w:top w:w="100" w:type="dxa"/>
              <w:bottom w:w="100" w:type="dxa"/>
              <w:left w:w="120" w:type="dxa"/>
              <w:right w:w="120" w:type="dxa"/>
            </w:tcMar>
            <w:shd w:fill="E9ECEF"/>
          </w:tcPr>
          <w:p>
            <w:pPr>
              <w:spacing w:after="0" w:before="0"/>
            </w:pPr>
            <w:r>
              <w:rPr>
                <w:b/>
                <w:sz w:val="19"/>
              </w:rPr>
              <w:t>96,096</w:t>
            </w:r>
          </w:p>
        </w:tc>
        <w:tc>
          <w:tcPr>
            <w:tcW w:type="dxa" w:w="1008"/>
            <w:vAlign w:val="center"/>
            <w:tcMar>
              <w:top w:w="100" w:type="dxa"/>
              <w:bottom w:w="100" w:type="dxa"/>
              <w:left w:w="120" w:type="dxa"/>
              <w:right w:w="120" w:type="dxa"/>
            </w:tcMar>
            <w:shd w:fill="E9ECEF"/>
          </w:tcPr>
          <w:p>
            <w:pPr>
              <w:spacing w:after="0" w:before="0"/>
            </w:pPr>
            <w:r>
              <w:rPr>
                <w:b/>
                <w:sz w:val="19"/>
              </w:rPr>
              <w:t>100.0%</w:t>
            </w:r>
          </w:p>
        </w:tc>
        <w:tc>
          <w:tcPr>
            <w:tcW w:type="dxa" w:w="1584"/>
            <w:vAlign w:val="center"/>
            <w:tcMar>
              <w:top w:w="100" w:type="dxa"/>
              <w:bottom w:w="100" w:type="dxa"/>
              <w:left w:w="120" w:type="dxa"/>
              <w:right w:w="120" w:type="dxa"/>
            </w:tcMar>
            <w:shd w:fill="E9ECEF"/>
          </w:tcPr>
          <w:p>
            <w:pPr>
              <w:spacing w:after="0" w:before="0"/>
            </w:pPr>
            <w:r>
              <w:rPr>
                <w:b/>
                <w:sz w:val="19"/>
              </w:rPr>
              <w:t>$16,010,000</w:t>
            </w:r>
          </w:p>
        </w:tc>
        <w:tc>
          <w:tcPr>
            <w:tcW w:type="dxa" w:w="1152"/>
            <w:vAlign w:val="center"/>
            <w:tcMar>
              <w:top w:w="100" w:type="dxa"/>
              <w:bottom w:w="100" w:type="dxa"/>
              <w:left w:w="120" w:type="dxa"/>
              <w:right w:w="120" w:type="dxa"/>
            </w:tcMar>
            <w:shd w:fill="E9ECEF"/>
          </w:tcPr>
          <w:p>
            <w:pPr>
              <w:spacing w:after="0" w:before="0"/>
            </w:pPr>
            <w:r>
              <w:rPr>
                <w:b/>
                <w:sz w:val="19"/>
              </w:rPr>
              <w:t>100.0%</w:t>
            </w:r>
          </w:p>
        </w:tc>
        <w:tc>
          <w:tcPr>
            <w:tcW w:type="dxa" w:w="2592"/>
            <w:vAlign w:val="center"/>
            <w:tcMar>
              <w:top w:w="100" w:type="dxa"/>
              <w:bottom w:w="100" w:type="dxa"/>
              <w:left w:w="120" w:type="dxa"/>
              <w:right w:w="120" w:type="dxa"/>
            </w:tcMar>
            <w:shd w:fill="E9ECEF"/>
          </w:tcPr>
          <w:p>
            <w:pPr>
              <w:spacing w:after="0" w:before="0"/>
            </w:pPr>
            <w:r>
              <w:rPr>
                <w:b/>
                <w:sz w:val="19"/>
              </w:rPr>
              <w:t>—</w:t>
            </w:r>
          </w:p>
        </w:tc>
      </w:tr>
    </w:tbl>
    <w:p>
      <w:pPr>
        <w:spacing w:after="120"/>
      </w:pPr>
    </w:p>
    <w:p>
      <w:pPr>
        <w:keepNext/>
        <w:spacing w:before="320" w:after="120"/>
      </w:pPr>
      <w:r>
        <w:rPr>
          <w:rFonts w:ascii="Segoe UI" w:hAnsi="Segoe UI"/>
          <w:b/>
          <w:color w:val="107C41"/>
          <w:sz w:val="28"/>
        </w:rPr>
        <w:t>4. Key Business Insights</w:t>
      </w:r>
    </w:p>
    <w:p>
      <w:pPr>
        <w:keepNext/>
        <w:spacing w:before="240" w:after="80"/>
      </w:pPr>
      <w:r>
        <w:rPr>
          <w:rFonts w:ascii="Segoe UI" w:hAnsi="Segoe UI"/>
          <w:b/>
          <w:color w:val="212529"/>
          <w:sz w:val="24"/>
        </w:rPr>
        <w:t>4.1. Big Loss After First Purchase</w:t>
      </w:r>
    </w:p>
    <w:p>
      <w:pPr>
        <w:spacing w:after="120" w:line="276" w:lineRule="auto"/>
      </w:pPr>
      <w:r>
        <w:t>The Churned and New Signup groups together make up 77.54% of our whole customer list. The fact that nearly 8 out of 10 buyers place only one order and never come back shows that our welcome emails, customer follow-up, or initial product setup is failing to build a lasting connection.</w:t>
      </w:r>
    </w:p>
    <w:p>
      <w:pPr>
        <w:keepNext/>
        <w:spacing w:before="240" w:after="80"/>
      </w:pPr>
      <w:r>
        <w:rPr>
          <w:rFonts w:ascii="Segoe UI" w:hAnsi="Segoe UI"/>
          <w:b/>
          <w:color w:val="212529"/>
          <w:sz w:val="24"/>
        </w:rPr>
        <w:t>4.2. Very Small Group of Top Customers</w:t>
      </w:r>
    </w:p>
    <w:p>
      <w:pPr>
        <w:spacing w:after="120" w:line="276" w:lineRule="auto"/>
      </w:pPr>
      <w:r>
        <w:t>Our best customer groups (Champions, Loyal, and At-Risk Loyal) add up to only 252 people out of more than 96,000 total customers. While each of these buyers spends a lot, the group is too small to protect our monthly revenue if new customer growth slows down.</w:t>
      </w:r>
    </w:p>
    <w:p>
      <w:pPr>
        <w:keepNext/>
        <w:spacing w:before="240" w:after="80"/>
      </w:pPr>
      <w:r>
        <w:rPr>
          <w:rFonts w:ascii="Segoe UI" w:hAnsi="Segoe UI"/>
          <w:b/>
          <w:color w:val="212529"/>
          <w:sz w:val="24"/>
        </w:rPr>
        <w:t>4.3. Casual Buyers Offer Big Growth Opportunities</w:t>
      </w:r>
    </w:p>
    <w:p>
      <w:pPr>
        <w:spacing w:after="120" w:line="276" w:lineRule="auto"/>
      </w:pPr>
      <w:r>
        <w:t>The Casual Buyers group (18,580 people making $2.83M in sales) is our biggest chance for growth. These customers already know our brand and have bought from us, but they need simple reasons or small rewards to order again. Turning even 5% of this group into repeat buyers would greatly boost our profits.</w:t>
      </w:r>
    </w:p>
    <w:p>
      <w:pPr>
        <w:keepNext/>
        <w:spacing w:before="240" w:after="80"/>
      </w:pPr>
      <w:r>
        <w:rPr>
          <w:rFonts w:ascii="Segoe UI" w:hAnsi="Segoe UI"/>
          <w:b/>
          <w:color w:val="212529"/>
          <w:sz w:val="24"/>
        </w:rPr>
        <w:t>4.4. Monthly Lost Customers Trend (Line Chart Analysis)</w:t>
      </w:r>
    </w:p>
    <w:p>
      <w:pPr>
        <w:spacing w:after="120" w:line="276" w:lineRule="auto"/>
      </w:pPr>
      <w:r>
        <w:t>Looking at the updated monthly trend line for lost customers (Churned Customers by Month), we can see clear stages in our business:</w:t>
      </w:r>
    </w:p>
    <w:p>
      <w:pPr>
        <w:pStyle w:val="ListBullet"/>
        <w:spacing w:after="80" w:line="276" w:lineRule="auto"/>
      </w:pPr>
      <w:r>
        <w:rPr>
          <w:b/>
        </w:rPr>
        <w:t xml:space="preserve">Early Stages (Late 2016): </w:t>
      </w:r>
      <w:r>
        <w:t>In late 2016, monthly lost customer numbers were very low (from 0 to 300 per month), showing the early start of the business.</w:t>
      </w:r>
    </w:p>
    <w:p>
      <w:pPr>
        <w:pStyle w:val="ListBullet"/>
        <w:spacing w:after="80" w:line="276" w:lineRule="auto"/>
      </w:pPr>
      <w:r>
        <w:rPr>
          <w:b/>
        </w:rPr>
        <w:t xml:space="preserve">Growth Stage (Early to Mid-2017): </w:t>
      </w:r>
      <w:r>
        <w:t>As new customer signups grew, monthly lost customers increased steadily from 1,700 in Feb 2017 to around 4,000 per month in August and September 2017.</w:t>
      </w:r>
    </w:p>
    <w:p>
      <w:pPr>
        <w:pStyle w:val="ListBullet"/>
        <w:spacing w:after="80" w:line="276" w:lineRule="auto"/>
      </w:pPr>
      <w:r>
        <w:rPr>
          <w:b/>
        </w:rPr>
        <w:t xml:space="preserve">Highest Peak (Late 2017): </w:t>
      </w:r>
      <w:r>
        <w:t>Lost customer counts reached their highest level in November 2017, jumping to nearly 7,100 lost customers in a single month. This matches the busy holiday shopping season, showing that many holiday buyers bought once and did not return.</w:t>
      </w:r>
    </w:p>
    <w:p>
      <w:pPr>
        <w:pStyle w:val="ListBullet"/>
        <w:spacing w:after="80" w:line="276" w:lineRule="auto"/>
      </w:pPr>
      <w:r>
        <w:rPr>
          <w:b/>
        </w:rPr>
        <w:t xml:space="preserve">Sudden Drop: </w:t>
      </w:r>
      <w:r>
        <w:t>Right after November 2017, the numbers drop sharply (for example, down to 600 in Dec 2017). This sudden drop points to missing data or cut-offs in the computer records rather than a sudden business improvement.</w:t>
      </w:r>
    </w:p>
    <w:p>
      <w:pPr>
        <w:keepNext/>
        <w:spacing w:before="320" w:after="120"/>
      </w:pPr>
      <w:r>
        <w:rPr>
          <w:rFonts w:ascii="Segoe UI" w:hAnsi="Segoe UI"/>
          <w:b/>
          <w:color w:val="107C41"/>
          <w:sz w:val="28"/>
        </w:rPr>
        <w:t>5. Simple Recommended Actions</w:t>
      </w:r>
    </w:p>
    <w:p>
      <w:pPr>
        <w:keepNext/>
        <w:spacing w:before="240" w:after="80"/>
      </w:pPr>
      <w:r>
        <w:rPr>
          <w:rFonts w:ascii="Segoe UI" w:hAnsi="Segoe UI"/>
          <w:b/>
          <w:color w:val="212529"/>
          <w:sz w:val="24"/>
        </w:rPr>
        <w:t>5.1. Focus on Getting the Second Order Quickly</w:t>
      </w:r>
    </w:p>
    <w:p>
      <w:pPr>
        <w:spacing w:after="120" w:line="276" w:lineRule="auto"/>
      </w:pPr>
      <w:r>
        <w:t>Because most customers leave right after their first purchase, set up automatic emails sent 3 to 5 days after their first order arrives. Give them a special offer—like a 15% discount or free delivery valid for 7 days—to encourage that second purchase.</w:t>
      </w:r>
    </w:p>
    <w:p>
      <w:pPr>
        <w:keepNext/>
        <w:spacing w:before="240" w:after="80"/>
      </w:pPr>
      <w:r>
        <w:rPr>
          <w:rFonts w:ascii="Segoe UI" w:hAnsi="Segoe UI"/>
          <w:b/>
          <w:color w:val="212529"/>
          <w:sz w:val="24"/>
        </w:rPr>
        <w:t>5.2. Bring Back Past Good Buyers</w:t>
      </w:r>
    </w:p>
    <w:p>
      <w:pPr>
        <w:spacing w:after="120" w:line="276" w:lineRule="auto"/>
      </w:pPr>
      <w:r>
        <w:t>Do not waste marketing money trying to message all 37,384 lost buyers who ordered only once long ago. Instead, focus money on the At-Risk Loyal and Fading Customer groups (1,054 buyers total). Since these people have a history of buying more than once, targeted deals will bring better results.</w:t>
      </w:r>
    </w:p>
    <w:p>
      <w:pPr>
        <w:keepNext/>
        <w:spacing w:before="240" w:after="80"/>
      </w:pPr>
      <w:r>
        <w:rPr>
          <w:rFonts w:ascii="Segoe UI" w:hAnsi="Segoe UI"/>
          <w:b/>
          <w:color w:val="212529"/>
          <w:sz w:val="24"/>
        </w:rPr>
        <w:t>5.3. Offer Small Rewards to Casual Buyers</w:t>
      </w:r>
    </w:p>
    <w:p>
      <w:pPr>
        <w:spacing w:after="120" w:line="276" w:lineRule="auto"/>
      </w:pPr>
      <w:r>
        <w:t>Give the 18,580 Casual Buyers simple goals to reach (for example: 'Spend $50 more to get permanent free delivery' or 'Earn double points on your next purchase'). This encourages them to move into higher buying tiers without hurting profit margins.</w:t>
      </w:r>
    </w:p>
    <w:p>
      <w:pPr>
        <w:keepNext/>
        <w:spacing w:before="240" w:after="80"/>
      </w:pPr>
      <w:r>
        <w:rPr>
          <w:rFonts w:ascii="Segoe UI" w:hAnsi="Segoe UI"/>
          <w:b/>
          <w:color w:val="212529"/>
          <w:sz w:val="24"/>
        </w:rPr>
        <w:t>5.4. Move Marketing Budget to Keeping Customers</w:t>
      </w:r>
    </w:p>
    <w:p>
      <w:pPr>
        <w:spacing w:after="120" w:line="276" w:lineRule="auto"/>
      </w:pPr>
      <w:r>
        <w:t>Move 10% to 15% of the main advertising budget into automated customer emails, loyalty rewards, and better customer support. Relying only on finding new buyers leaves the business vulnerable if ad costs go up.</w:t>
      </w:r>
    </w:p>
    <w:p>
      <w:pPr>
        <w:keepNext/>
        <w:spacing w:before="320" w:after="120"/>
      </w:pPr>
      <w:r>
        <w:rPr>
          <w:rFonts w:ascii="Segoe UI" w:hAnsi="Segoe UI"/>
          <w:b/>
          <w:color w:val="107C41"/>
          <w:sz w:val="28"/>
        </w:rPr>
        <w:t>6. Next Steps</w:t>
      </w:r>
    </w:p>
    <w:p>
      <w:pPr>
        <w:pStyle w:val="ListBullet"/>
        <w:spacing w:after="80" w:line="276" w:lineRule="auto"/>
      </w:pPr>
      <w:r>
        <w:rPr>
          <w:b/>
        </w:rPr>
        <w:t xml:space="preserve">Check Late-2017 Data Records: </w:t>
      </w:r>
      <w:r>
        <w:t>Have the data team check the sales records after November 2017 to confirm if the drop was caused by missing data files.</w:t>
      </w:r>
    </w:p>
    <w:p>
      <w:pPr>
        <w:pStyle w:val="ListBullet"/>
        <w:spacing w:after="80" w:line="276" w:lineRule="auto"/>
      </w:pPr>
      <w:r>
        <w:rPr>
          <w:b/>
        </w:rPr>
        <w:t xml:space="preserve">Find Top Repeat Products: </w:t>
      </w:r>
      <w:r>
        <w:t>Run a database search to see what products the 3.12% of repeat buyers are purchasing. Knowing which items bring customers back will help us feature them in future emails.</w:t>
      </w:r>
    </w:p>
    <w:p>
      <w:pPr>
        <w:pStyle w:val="ListBullet"/>
        <w:spacing w:after="80" w:line="276" w:lineRule="auto"/>
      </w:pPr>
      <w:r>
        <w:rPr>
          <w:b/>
        </w:rPr>
        <w:t xml:space="preserve">Automate Customer Lists: </w:t>
      </w:r>
      <w:r>
        <w:t>Connect these customer groups directly into our email system so lists update automatically every week.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