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6314F"/>
          <w:sz w:val="36"/>
          <w:szCs w:val="36"/>
        </w:rPr>
        <w:t xml:space="preserve">Broker Conformance: Artemis, RabbitMQ, Kafka</w:t>
      </w:r>
    </w:p>
    <w:p>
      <w:pPr>
        <w:spacing w:after="200"/>
      </w:pPr>
      <w:r>
        <w:rPr>
          <w:i/>
          <w:iCs/>
          <w:color w:val="0F6E6E"/>
          <w:sz w:val="23"/>
          <w:szCs w:val="23"/>
        </w:rPr>
        <w:t xml:space="preserve">A 19-scenario capability map of three self-hosted brokers — honest mapping, not a score race</w:t>
      </w:r>
    </w:p>
    <w:p>
      <w:pPr>
        <w:pBdr>
          <w:bottom w:val="single" w:color="16314F" w:sz="6" w:space="8"/>
        </w:pBdr>
        <w:spacing w:after="220"/>
      </w:pPr>
      <w:r>
        <w:rPr>
          <w:b/>
          <w:bCs/>
          <w:color w:val="5B6670"/>
          <w:sz w:val="18"/>
          <w:szCs w:val="18"/>
        </w:rPr>
        <w:t xml:space="preserve">Audience: </w:t>
      </w:r>
      <w:r>
        <w:rPr>
          <w:color w:val="5B6670"/>
          <w:sz w:val="18"/>
          <w:szCs w:val="18"/>
        </w:rPr>
        <w:t xml:space="preserve">Principal Engineers / Architecture Review</w:t>
      </w:r>
      <w:r>
        <w:rPr>
          <w:b/>
          <w:bCs/>
          <w:color w:val="5B6670"/>
          <w:sz w:val="18"/>
          <w:szCs w:val="18"/>
        </w:rPr>
        <w:t xml:space="preserve">    Status: </w:t>
      </w:r>
      <w:r>
        <w:rPr>
          <w:color w:val="5B6670"/>
          <w:sz w:val="18"/>
          <w:szCs w:val="18"/>
        </w:rPr>
        <w:t xml:space="preserve">PoC underway</w:t>
      </w:r>
      <w:r>
        <w:rPr>
          <w:b/>
          <w:bCs/>
          <w:color w:val="5B6670"/>
          <w:sz w:val="18"/>
          <w:szCs w:val="18"/>
        </w:rPr>
        <w:t xml:space="preserve">    Today in prod: </w:t>
      </w:r>
      <w:r>
        <w:rPr>
          <w:color w:val="5B6670"/>
          <w:sz w:val="18"/>
          <w:szCs w:val="18"/>
        </w:rPr>
        <w:t xml:space="preserve">Kafka + Azure Service Bus</w:t>
      </w:r>
    </w:p>
    <w:tbl>
      <w:tblPr>
        <w:tblW w:type="dxa" w:w="9360"/>
        <w:tblBorders>
          <w:top w:val="single" w:color="0F6E6E" w:sz="4"/>
          <w:left w:val="single" w:color="0F6E6E" w:sz="4"/>
          <w:bottom w:val="single" w:color="0F6E6E" w:sz="4"/>
          <w:right w:val="single" w:color="0F6E6E" w:sz="4"/>
          <w:insideH w:val="none"/>
          <w:insideV w:val="none"/>
        </w:tblBorders>
      </w:tblPr>
      <w:tblGrid>
        <w:gridCol w:w="9360"/>
      </w:tblGrid>
      <w:tr>
        <w:tc>
          <w:tcPr>
            <w:tcW w:type="dxa" w:w="9360"/>
            <w:shd w:fill="E9F2F1" w:color="auto" w:val="clear"/>
            <w:tcMar>
              <w:top w:type="dxa" w:w="150"/>
              <w:left w:type="dxa" w:w="200"/>
              <w:bottom w:type="dxa" w:w="150"/>
              <w:right w:type="dxa" w:w="200"/>
            </w:tcMar>
          </w:tcPr>
          <w:p>
            <w:pPr>
              <w:spacing w:after="80"/>
            </w:pPr>
            <w:r>
              <w:rPr>
                <w:b/>
                <w:bCs/>
                <w:color w:val="0F6E6E"/>
                <w:sz w:val="20"/>
                <w:szCs w:val="20"/>
              </w:rPr>
              <w:t xml:space="preserve">RECOMMENDATION</w:t>
            </w:r>
          </w:p>
          <w:p>
            <w:pPr>
              <w:spacing w:after="0" w:line="280"/>
            </w:pPr>
            <w:r>
              <w:rPr>
                <w:b/>
                <w:bCs/>
                <w:color w:val="16314F"/>
                <w:sz w:val="23"/>
                <w:szCs w:val="23"/>
              </w:rPr>
              <w:t xml:space="preserve">Route workloads by shape, not by a single winner.</w:t>
            </w:r>
            <w:r>
              <w:rPr>
                <w:color w:val="1B1F24"/>
                <w:sz w:val="21"/>
                <w:szCs w:val="21"/>
              </w:rPr>
              <w:t xml:space="preserve"> Keep </w:t>
            </w:r>
            <w:r>
              <w:rPr>
                <w:b/>
                <w:bCs/>
                <w:color w:val="43479B"/>
                <w:sz w:val="21"/>
                <w:szCs w:val="21"/>
              </w:rPr>
              <w:t xml:space="preserve">Kafka</w:t>
            </w:r>
            <w:r>
              <w:rPr>
                <w:color w:val="1B1F24"/>
                <w:sz w:val="21"/>
                <w:szCs w:val="21"/>
              </w:rPr>
              <w:t xml:space="preserve"> for high-throughput streaming and full-history replay; use </w:t>
            </w:r>
            <w:r>
              <w:rPr>
                <w:b/>
                <w:bCs/>
                <w:color w:val="0F6E6E"/>
                <w:sz w:val="21"/>
                <w:szCs w:val="21"/>
              </w:rPr>
              <w:t xml:space="preserve">Artemis</w:t>
            </w:r>
            <w:r>
              <w:rPr>
                <w:color w:val="1B1F24"/>
                <w:sz w:val="21"/>
                <w:szCs w:val="21"/>
              </w:rPr>
              <w:t xml:space="preserve"> for broker-native queue work — and specifically for the Azure Service Bus scheduled-messaging replacement, since it is the only broker that passed scheduling + cancel + list (S2–S4) and native dedup (S13). </w:t>
            </w:r>
            <w:r>
              <w:rPr>
                <w:b/>
                <w:bCs/>
                <w:color w:val="B5572A"/>
                <w:sz w:val="21"/>
                <w:szCs w:val="21"/>
              </w:rPr>
              <w:t xml:space="preserve">RabbitMQ</w:t>
            </w:r>
            <w:r>
              <w:rPr>
                <w:color w:val="1B1F24"/>
                <w:sz w:val="21"/>
                <w:szCs w:val="21"/>
              </w:rPr>
              <w:t xml:space="preserve"> is viable only if you accept no scheduled cancel/list and app-level idempotency.</w:t>
            </w:r>
          </w:p>
        </w:tc>
      </w:tr>
    </w:tbl>
    <w:p>
      <w:pPr>
        <w:spacing w:after="60"/>
      </w:pPr>
    </w:p>
    <w:p>
      <w:pPr>
        <w:pStyle w:val="Heading1"/>
      </w:pPr>
      <w:r>
        <w:rPr>
          <w:b/>
          <w:bCs/>
          <w:color w:val="16314F"/>
          <w:sz w:val="28"/>
          <w:szCs w:val="28"/>
        </w:rPr>
        <w:t xml:space="preserve">1.  What we measured, and why</w:t>
      </w:r>
    </w:p>
    <w:p>
      <w:pPr>
        <w:spacing w:after="140" w:line="276"/>
      </w:pPr>
      <w:r>
        <w:rPr>
          <w:color w:val="1B1F24"/>
          <w:sz w:val="21"/>
          <w:szCs w:val="21"/>
        </w:rPr>
        <w:t xml:space="preserve">We ran a broker-agnostic conformance suite of </w:t>
      </w:r>
      <w:r>
        <w:rPr>
          <w:b/>
          <w:bCs/>
          <w:color w:val="1B1F24"/>
          <w:sz w:val="21"/>
          <w:szCs w:val="21"/>
        </w:rPr>
        <w:t xml:space="preserve">19 scenarios (S1–S19)</w:t>
      </w:r>
      <w:r>
        <w:rPr>
          <w:color w:val="1B1F24"/>
          <w:sz w:val="21"/>
          <w:szCs w:val="21"/>
        </w:rPr>
        <w:t xml:space="preserve"> against pluggable adapters, each self-declaring its capabilities and all running through one shared resilience decorator (retry + circuit breaker). Production today is </w:t>
      </w:r>
      <w:r>
        <w:rPr>
          <w:b/>
          <w:bCs/>
          <w:color w:val="1B1F24"/>
          <w:sz w:val="21"/>
          <w:szCs w:val="21"/>
        </w:rPr>
        <w:t xml:space="preserve">Kafka + Azure Service Bus</w:t>
      </w:r>
      <w:r>
        <w:rPr>
          <w:color w:val="1B1F24"/>
          <w:sz w:val="21"/>
          <w:szCs w:val="21"/>
        </w:rPr>
        <w:t xml:space="preserve">; this PoC measures three self-hosted/OSS candidates — Apache ActiveMQ Artemis, RabbitMQ, and Apache Kafka — to map the trade-off space. The goal is an honest capability map, not a winner.</w:t>
      </w:r>
    </w:p>
    <w:p>
      <w:pPr>
        <w:spacing w:after="140" w:line="276"/>
      </w:pPr>
      <w:r>
        <w:rPr>
          <w:color w:val="5B6670"/>
          <w:sz w:val="19"/>
          <w:szCs w:val="19"/>
        </w:rPr>
        <w:t xml:space="preserve">Azure Service Bus is not in the measured matrix; a reference capability note is in the appendix for the “where we are today” framing, clearly labelled as not measured.</w:t>
      </w:r>
    </w:p>
    <w:p>
      <w:pPr>
        <w:pStyle w:val="Heading1"/>
      </w:pPr>
      <w:r>
        <w:rPr>
          <w:b/>
          <w:bCs/>
          <w:color w:val="16314F"/>
          <w:sz w:val="28"/>
          <w:szCs w:val="28"/>
        </w:rPr>
        <w:t xml:space="preserve">2.  How to read this</w:t>
      </w:r>
    </w:p>
    <w:p>
      <w:pPr>
        <w:spacing w:after="140" w:line="276"/>
      </w:pPr>
      <w:r>
        <w:rPr>
          <w:color w:val="1B1F24"/>
          <w:sz w:val="21"/>
          <w:szCs w:val="21"/>
        </w:rPr>
        <w:t xml:space="preserve">Each scenario lands in one of three buckets. The middle bucket is the one people misread: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4"/>
                <w:szCs w:val="24"/>
              </w:rPr>
              <w:t xml:space="preserve">✓</w:t>
            </w:r>
          </w:p>
        </w:tc>
        <w:tc>
          <w:tcPr>
            <w:tcW w:type="dxa" w:w="8660"/>
            <w:tcBorders>
              <w:top w:val="single" w:color="D4DAE0" w:sz="1"/>
              <w:left w:val="single" w:color="D4DAE0" w:sz="1"/>
              <w:bottom w:val="single" w:color="D4DAE0" w:sz="1"/>
              <w:right w:val="single" w:color="D4DAE0" w:sz="1"/>
            </w:tcBorders>
            <w:tcMar>
              <w:top w:type="dxa" w:w="50"/>
              <w:left w:type="dxa" w:w="90"/>
              <w:bottom w:type="dxa" w:w="50"/>
              <w:right w:type="dxa" w:w="90"/>
            </w:tcMar>
            <w:vAlign w:val="center"/>
          </w:tcPr>
          <w:p>
            <w:pPr>
              <w:spacing w:after="0" w:line="248"/>
            </w:pPr>
            <w:r>
              <w:rPr>
                <w:color w:val="1B1F24"/>
                <w:sz w:val="18"/>
                <w:szCs w:val="18"/>
              </w:rPr>
              <w:t xml:space="preserve">PASS — behaves as required.</w:t>
            </w:r>
          </w:p>
        </w:tc>
      </w:tr>
      <w:tr>
        <w:tc>
          <w:tcPr>
            <w:tcW w:type="dxa" w:w="700"/>
            <w:tcBorders>
              <w:top w:val="single" w:color="D4DAE0" w:sz="1"/>
              <w:left w:val="single" w:color="D4DAE0" w:sz="1"/>
              <w:bottom w:val="single" w:color="D4DAE0" w:sz="1"/>
              <w:right w:val="single" w:color="D4DAE0" w:sz="1"/>
            </w:tcBorders>
            <w:shd w:fill="FBF1D8" w:color="auto" w:val="clear"/>
            <w:tcMar>
              <w:top w:type="dxa" w:w="50"/>
              <w:left w:type="dxa" w:w="90"/>
              <w:bottom w:type="dxa" w:w="50"/>
              <w:right w:type="dxa" w:w="90"/>
            </w:tcMar>
            <w:vAlign w:val="center"/>
          </w:tcPr>
          <w:p>
            <w:pPr>
              <w:spacing w:after="0"/>
              <w:jc w:val="center"/>
            </w:pPr>
            <w:r>
              <w:rPr>
                <w:b/>
                <w:bCs/>
                <w:color w:val="9C7A1E"/>
                <w:sz w:val="24"/>
                <w:szCs w:val="24"/>
              </w:rPr>
              <w:t xml:space="preserve">⊘</w:t>
            </w:r>
          </w:p>
        </w:tc>
        <w:tc>
          <w:tcPr>
            <w:tcW w:type="dxa" w:w="8660"/>
            <w:tcBorders>
              <w:top w:val="single" w:color="D4DAE0" w:sz="1"/>
              <w:left w:val="single" w:color="D4DAE0" w:sz="1"/>
              <w:bottom w:val="single" w:color="D4DAE0" w:sz="1"/>
              <w:right w:val="single" w:color="D4DAE0" w:sz="1"/>
            </w:tcBorders>
            <w:tcMar>
              <w:top w:type="dxa" w:w="50"/>
              <w:left w:type="dxa" w:w="90"/>
              <w:bottom w:type="dxa" w:w="50"/>
              <w:right w:type="dxa" w:w="90"/>
            </w:tcMar>
            <w:vAlign w:val="center"/>
          </w:tcPr>
          <w:p>
            <w:pPr>
              <w:spacing w:after="0" w:line="248"/>
            </w:pPr>
            <w:r>
              <w:rPr>
                <w:color w:val="1B1F24"/>
                <w:sz w:val="18"/>
                <w:szCs w:val="18"/>
              </w:rPr>
              <w:t xml:space="preserve">UNSUPPORTED — an honest, declared gap. The broker doesn’t do this by design. This is NOT a failure.</w:t>
            </w:r>
          </w:p>
        </w:tc>
      </w:tr>
      <w:tr>
        <w:tc>
          <w:tcPr>
            <w:tcW w:type="dxa" w:w="700"/>
            <w:tcBorders>
              <w:top w:val="single" w:color="D4DAE0" w:sz="1"/>
              <w:left w:val="single" w:color="D4DAE0" w:sz="1"/>
              <w:bottom w:val="single" w:color="D4DAE0" w:sz="1"/>
              <w:right w:val="single" w:color="D4DAE0" w:sz="1"/>
            </w:tcBorders>
            <w:shd w:fill="F7E2DE" w:color="auto" w:val="clear"/>
            <w:tcMar>
              <w:top w:type="dxa" w:w="50"/>
              <w:left w:type="dxa" w:w="90"/>
              <w:bottom w:type="dxa" w:w="50"/>
              <w:right w:type="dxa" w:w="90"/>
            </w:tcMar>
            <w:vAlign w:val="center"/>
          </w:tcPr>
          <w:p>
            <w:pPr>
              <w:spacing w:after="0"/>
              <w:jc w:val="center"/>
            </w:pPr>
            <w:r>
              <w:rPr>
                <w:b/>
                <w:bCs/>
                <w:color w:val="B0392B"/>
                <w:sz w:val="24"/>
                <w:szCs w:val="24"/>
              </w:rPr>
              <w:t xml:space="preserve">✗</w:t>
            </w:r>
          </w:p>
        </w:tc>
        <w:tc>
          <w:tcPr>
            <w:tcW w:type="dxa" w:w="8660"/>
            <w:tcBorders>
              <w:top w:val="single" w:color="D4DAE0" w:sz="1"/>
              <w:left w:val="single" w:color="D4DAE0" w:sz="1"/>
              <w:bottom w:val="single" w:color="D4DAE0" w:sz="1"/>
              <w:right w:val="single" w:color="D4DAE0" w:sz="1"/>
            </w:tcBorders>
            <w:tcMar>
              <w:top w:type="dxa" w:w="50"/>
              <w:left w:type="dxa" w:w="90"/>
              <w:bottom w:type="dxa" w:w="50"/>
              <w:right w:type="dxa" w:w="90"/>
            </w:tcMar>
            <w:vAlign w:val="center"/>
          </w:tcPr>
          <w:p>
            <w:pPr>
              <w:spacing w:after="0" w:line="248"/>
            </w:pPr>
            <w:r>
              <w:rPr>
                <w:color w:val="1B1F24"/>
                <w:sz w:val="18"/>
                <w:szCs w:val="18"/>
              </w:rPr>
              <w:t xml:space="preserve">FAIL — a real break: the broker attempted the behavior and didn’t satisfy the requirement.</w:t>
            </w:r>
          </w:p>
        </w:tc>
      </w:tr>
    </w:tbl>
    <w:p>
      <w:pPr>
        <w:spacing w:after="120"/>
      </w:pPr>
    </w:p>
    <w:p>
      <w:pPr>
        <w:spacing w:after="140" w:line="276"/>
      </w:pPr>
      <w:r>
        <w:rPr>
          <w:color w:val="1B1F24"/>
          <w:sz w:val="21"/>
          <w:szCs w:val="21"/>
        </w:rPr>
        <w:t xml:space="preserve">The most important distinction in this whole document is </w:t>
      </w:r>
      <w:r>
        <w:rPr>
          <w:b/>
          <w:bCs/>
          <w:color w:val="1B1F24"/>
          <w:sz w:val="21"/>
          <w:szCs w:val="21"/>
        </w:rPr>
        <w:t xml:space="preserve">⊘ unsupported vs ✗ fail</w:t>
      </w:r>
      <w:r>
        <w:rPr>
          <w:color w:val="1B1F24"/>
          <w:sz w:val="21"/>
          <w:szCs w:val="21"/>
        </w:rPr>
        <w:t xml:space="preserve">. A ⊘ is a deliberate boundary — for example, Kafka has no broker-side timer, so scheduled delivery is simply not something it does. A ✗ is a genuine break. Counting “passes” alone is misleading; the buckets tell the real story.</w:t>
      </w:r>
    </w:p>
    <w:p>
      <w:pPr>
        <w:pStyle w:val="Heading1"/>
        <w:pageBreakBefore/>
      </w:pPr>
      <w:r>
        <w:rPr>
          <w:b/>
          <w:bCs/>
          <w:color w:val="16314F"/>
          <w:sz w:val="28"/>
          <w:szCs w:val="28"/>
        </w:rPr>
        <w:t xml:space="preserve">3.  The conformance matrix</w:t>
      </w:r>
    </w:p>
    <w:p>
      <w:pPr>
        <w:spacing w:after="120" w:line="276"/>
      </w:pPr>
      <w:r>
        <w:rPr>
          <w:color w:val="5B6670"/>
          <w:sz w:val="18"/>
          <w:szCs w:val="18"/>
        </w:rPr>
        <w:t xml:space="preserve">Short descriptions shown; per-scenario detail and timings are in the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60"/>
        <w:gridCol w:w="3540"/>
        <w:gridCol w:w="1133"/>
        <w:gridCol w:w="1133"/>
        <w:gridCol w:w="1134"/>
      </w:tblGrid>
      <w:tr>
        <w:trPr>
          <w:tblHeader/>
        </w:trPr>
        <w:tc>
          <w:tcPr>
            <w:tcW w:type="dxa" w:w="560"/>
            <w:tcBorders>
              <w:top w:val="single" w:color="D4DAE0" w:sz="1"/>
              <w:left w:val="single" w:color="D4DAE0" w:sz="1"/>
              <w:bottom w:val="single" w:color="D4DAE0" w:sz="1"/>
              <w:right w:val="single" w:color="D4DAE0" w:sz="1"/>
            </w:tcBorders>
            <w:shd w:fill="16314F" w:color="auto" w:val="clear"/>
            <w:tcMar>
              <w:top w:type="dxa" w:w="50"/>
              <w:left w:type="dxa" w:w="90"/>
              <w:bottom w:type="dxa" w:w="50"/>
              <w:right w:type="dxa" w:w="90"/>
            </w:tcMar>
            <w:vAlign w:val="center"/>
          </w:tcPr>
          <w:p>
            <w:pPr>
              <w:spacing w:after="0" w:line="248"/>
            </w:pPr>
            <w:r>
              <w:rPr>
                <w:b/>
                <w:bCs/>
                <w:color w:val="FFFFFF"/>
                <w:sz w:val="17"/>
                <w:szCs w:val="17"/>
              </w:rPr>
              <w:t xml:space="preserve">#</w:t>
            </w:r>
          </w:p>
        </w:tc>
        <w:tc>
          <w:tcPr>
            <w:tcW w:type="dxa" w:w="1860"/>
            <w:tcBorders>
              <w:top w:val="single" w:color="D4DAE0" w:sz="1"/>
              <w:left w:val="single" w:color="D4DAE0" w:sz="1"/>
              <w:bottom w:val="single" w:color="D4DAE0" w:sz="1"/>
              <w:right w:val="single" w:color="D4DAE0" w:sz="1"/>
            </w:tcBorders>
            <w:shd w:fill="16314F" w:color="auto" w:val="clear"/>
            <w:tcMar>
              <w:top w:type="dxa" w:w="50"/>
              <w:left w:type="dxa" w:w="90"/>
              <w:bottom w:type="dxa" w:w="50"/>
              <w:right w:type="dxa" w:w="90"/>
            </w:tcMar>
            <w:vAlign w:val="center"/>
          </w:tcPr>
          <w:p>
            <w:pPr>
              <w:spacing w:after="0" w:line="248"/>
            </w:pPr>
            <w:r>
              <w:rPr>
                <w:b/>
                <w:bCs/>
                <w:color w:val="FFFFFF"/>
                <w:sz w:val="17"/>
                <w:szCs w:val="17"/>
              </w:rPr>
              <w:t xml:space="preserve">Scenario</w:t>
            </w:r>
          </w:p>
        </w:tc>
        <w:tc>
          <w:tcPr>
            <w:tcW w:type="dxa" w:w="3540"/>
            <w:tcBorders>
              <w:top w:val="single" w:color="D4DAE0" w:sz="1"/>
              <w:left w:val="single" w:color="D4DAE0" w:sz="1"/>
              <w:bottom w:val="single" w:color="D4DAE0" w:sz="1"/>
              <w:right w:val="single" w:color="D4DAE0" w:sz="1"/>
            </w:tcBorders>
            <w:shd w:fill="16314F" w:color="auto" w:val="clear"/>
            <w:tcMar>
              <w:top w:type="dxa" w:w="50"/>
              <w:left w:type="dxa" w:w="90"/>
              <w:bottom w:type="dxa" w:w="50"/>
              <w:right w:type="dxa" w:w="90"/>
            </w:tcMar>
            <w:vAlign w:val="center"/>
          </w:tcPr>
          <w:p>
            <w:pPr>
              <w:spacing w:after="0" w:line="248"/>
            </w:pPr>
            <w:r>
              <w:rPr>
                <w:b/>
                <w:bCs/>
                <w:color w:val="FFFFFF"/>
                <w:sz w:val="17"/>
                <w:szCs w:val="17"/>
              </w:rPr>
              <w:t xml:space="preserve">What it tests</w:t>
            </w:r>
          </w:p>
        </w:tc>
        <w:tc>
          <w:tcPr>
            <w:tcW w:type="dxa" w:w="1133"/>
            <w:tcBorders>
              <w:top w:val="single" w:color="D4DAE0" w:sz="1"/>
              <w:left w:val="single" w:color="D4DAE0" w:sz="1"/>
              <w:bottom w:val="single" w:color="D4DAE0" w:sz="1"/>
              <w:right w:val="single" w:color="D4DAE0" w:sz="1"/>
            </w:tcBorders>
            <w:shd w:fill="0F6E6E" w:color="auto" w:val="clear"/>
            <w:tcMar>
              <w:top w:type="dxa" w:w="50"/>
              <w:left w:type="dxa" w:w="90"/>
              <w:bottom w:type="dxa" w:w="50"/>
              <w:right w:type="dxa" w:w="90"/>
            </w:tcMar>
            <w:vAlign w:val="center"/>
          </w:tcPr>
          <w:p>
            <w:pPr>
              <w:spacing w:after="0" w:line="248"/>
              <w:jc w:val="center"/>
            </w:pPr>
            <w:r>
              <w:rPr>
                <w:b/>
                <w:bCs/>
                <w:color w:val="FFFFFF"/>
                <w:sz w:val="16"/>
                <w:szCs w:val="16"/>
              </w:rPr>
              <w:t xml:space="preserve">Art.</w:t>
            </w:r>
          </w:p>
        </w:tc>
        <w:tc>
          <w:tcPr>
            <w:tcW w:type="dxa" w:w="1133"/>
            <w:tcBorders>
              <w:top w:val="single" w:color="D4DAE0" w:sz="1"/>
              <w:left w:val="single" w:color="D4DAE0" w:sz="1"/>
              <w:bottom w:val="single" w:color="D4DAE0" w:sz="1"/>
              <w:right w:val="single" w:color="D4DAE0" w:sz="1"/>
            </w:tcBorders>
            <w:shd w:fill="B5572A" w:color="auto" w:val="clear"/>
            <w:tcMar>
              <w:top w:type="dxa" w:w="50"/>
              <w:left w:type="dxa" w:w="90"/>
              <w:bottom w:type="dxa" w:w="50"/>
              <w:right w:type="dxa" w:w="90"/>
            </w:tcMar>
            <w:vAlign w:val="center"/>
          </w:tcPr>
          <w:p>
            <w:pPr>
              <w:spacing w:after="0" w:line="248"/>
              <w:jc w:val="center"/>
            </w:pPr>
            <w:r>
              <w:rPr>
                <w:b/>
                <w:bCs/>
                <w:color w:val="FFFFFF"/>
                <w:sz w:val="16"/>
                <w:szCs w:val="16"/>
              </w:rPr>
              <w:t xml:space="preserve">Rab.</w:t>
            </w:r>
          </w:p>
        </w:tc>
        <w:tc>
          <w:tcPr>
            <w:tcW w:type="dxa" w:w="1134"/>
            <w:tcBorders>
              <w:top w:val="single" w:color="D4DAE0" w:sz="1"/>
              <w:left w:val="single" w:color="D4DAE0" w:sz="1"/>
              <w:bottom w:val="single" w:color="D4DAE0" w:sz="1"/>
              <w:right w:val="single" w:color="D4DAE0" w:sz="1"/>
            </w:tcBorders>
            <w:shd w:fill="43479B" w:color="auto" w:val="clear"/>
            <w:tcMar>
              <w:top w:type="dxa" w:w="50"/>
              <w:left w:type="dxa" w:w="90"/>
              <w:bottom w:type="dxa" w:w="50"/>
              <w:right w:type="dxa" w:w="90"/>
            </w:tcMar>
            <w:vAlign w:val="center"/>
          </w:tcPr>
          <w:p>
            <w:pPr>
              <w:spacing w:after="0" w:line="248"/>
              <w:jc w:val="center"/>
            </w:pPr>
            <w:r>
              <w:rPr>
                <w:b/>
                <w:bCs/>
                <w:color w:val="FFFFFF"/>
                <w:sz w:val="16"/>
                <w:szCs w:val="16"/>
              </w:rPr>
              <w:t xml:space="preserve">Kaf.</w:t>
            </w:r>
          </w:p>
        </w:tc>
      </w:tr>
      <w:tr>
        <w:tc>
          <w:tcPr>
            <w:tcW w:type="dxa" w:w="5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6314F"/>
                <w:sz w:val="16"/>
                <w:szCs w:val="16"/>
              </w:rPr>
              <w:t xml:space="preserve">S1</w:t>
            </w:r>
          </w:p>
        </w:tc>
        <w:tc>
          <w:tcPr>
            <w:tcW w:type="dxa" w:w="18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B1F24"/>
                <w:sz w:val="16"/>
                <w:szCs w:val="16"/>
              </w:rPr>
              <w:t xml:space="preserve">Immediate send/receive</w:t>
            </w:r>
          </w:p>
        </w:tc>
        <w:tc>
          <w:tcPr>
            <w:tcW w:type="dxa" w:w="354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color w:val="5B6670"/>
                <w:sz w:val="15"/>
                <w:szCs w:val="15"/>
              </w:rPr>
              <w:t xml:space="preserve">Basic send → consume round-trip</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4"/>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r>
      <w:tr>
        <w:tc>
          <w:tcPr>
            <w:tcW w:type="dxa" w:w="5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6314F"/>
                <w:sz w:val="16"/>
                <w:szCs w:val="16"/>
              </w:rPr>
              <w:t xml:space="preserve">S2</w:t>
            </w:r>
          </w:p>
        </w:tc>
        <w:tc>
          <w:tcPr>
            <w:tcW w:type="dxa" w:w="18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B1F24"/>
                <w:sz w:val="16"/>
                <w:szCs w:val="16"/>
              </w:rPr>
              <w:t xml:space="preserve">Scheduled delivery</w:t>
            </w:r>
          </w:p>
        </w:tc>
        <w:tc>
          <w:tcPr>
            <w:tcW w:type="dxa" w:w="354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color w:val="5B6670"/>
                <w:sz w:val="15"/>
                <w:szCs w:val="15"/>
              </w:rPr>
              <w:t xml:space="preserve">Message held until a future time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✓ *</w:t>
            </w:r>
          </w:p>
        </w:tc>
        <w:tc>
          <w:tcPr>
            <w:tcW w:type="dxa" w:w="1134"/>
            <w:tcBorders>
              <w:top w:val="single" w:color="D4DAE0" w:sz="1"/>
              <w:left w:val="single" w:color="D4DAE0" w:sz="1"/>
              <w:bottom w:val="single" w:color="D4DAE0" w:sz="1"/>
              <w:right w:val="single" w:color="D4DAE0" w:sz="1"/>
            </w:tcBorders>
            <w:shd w:fill="F7E2DE" w:color="auto" w:val="clear"/>
            <w:tcMar>
              <w:top w:type="dxa" w:w="50"/>
              <w:left w:type="dxa" w:w="90"/>
              <w:bottom w:type="dxa" w:w="50"/>
              <w:right w:type="dxa" w:w="90"/>
            </w:tcMar>
            <w:vAlign w:val="center"/>
          </w:tcPr>
          <w:p>
            <w:pPr>
              <w:spacing w:after="0"/>
              <w:jc w:val="center"/>
            </w:pPr>
            <w:r>
              <w:rPr>
                <w:b/>
                <w:bCs/>
                <w:color w:val="B0392B"/>
                <w:sz w:val="22"/>
                <w:szCs w:val="22"/>
              </w:rPr>
              <w:t xml:space="preserve">✗</w:t>
            </w:r>
          </w:p>
        </w:tc>
      </w:tr>
      <w:tr>
        <w:tc>
          <w:tcPr>
            <w:tcW w:type="dxa" w:w="5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6314F"/>
                <w:sz w:val="16"/>
                <w:szCs w:val="16"/>
              </w:rPr>
              <w:t xml:space="preserve">S3</w:t>
            </w:r>
          </w:p>
        </w:tc>
        <w:tc>
          <w:tcPr>
            <w:tcW w:type="dxa" w:w="18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B1F24"/>
                <w:sz w:val="16"/>
                <w:szCs w:val="16"/>
              </w:rPr>
              <w:t xml:space="preserve">Cancel scheduled</w:t>
            </w:r>
          </w:p>
        </w:tc>
        <w:tc>
          <w:tcPr>
            <w:tcW w:type="dxa" w:w="354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color w:val="5B6670"/>
                <w:sz w:val="15"/>
                <w:szCs w:val="15"/>
              </w:rPr>
              <w:t xml:space="preserve">Retract a scheduled message before it fires</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FBF1D8" w:color="auto" w:val="clear"/>
            <w:tcMar>
              <w:top w:type="dxa" w:w="50"/>
              <w:left w:type="dxa" w:w="90"/>
              <w:bottom w:type="dxa" w:w="50"/>
              <w:right w:type="dxa" w:w="90"/>
            </w:tcMar>
            <w:vAlign w:val="center"/>
          </w:tcPr>
          <w:p>
            <w:pPr>
              <w:spacing w:after="0"/>
              <w:jc w:val="center"/>
            </w:pPr>
            <w:r>
              <w:rPr>
                <w:b/>
                <w:bCs/>
                <w:color w:val="9C7A1E"/>
                <w:sz w:val="22"/>
                <w:szCs w:val="22"/>
              </w:rPr>
              <w:t xml:space="preserve">⊘</w:t>
            </w:r>
          </w:p>
        </w:tc>
        <w:tc>
          <w:tcPr>
            <w:tcW w:type="dxa" w:w="1134"/>
            <w:tcBorders>
              <w:top w:val="single" w:color="D4DAE0" w:sz="1"/>
              <w:left w:val="single" w:color="D4DAE0" w:sz="1"/>
              <w:bottom w:val="single" w:color="D4DAE0" w:sz="1"/>
              <w:right w:val="single" w:color="D4DAE0" w:sz="1"/>
            </w:tcBorders>
            <w:shd w:fill="FBF1D8" w:color="auto" w:val="clear"/>
            <w:tcMar>
              <w:top w:type="dxa" w:w="50"/>
              <w:left w:type="dxa" w:w="90"/>
              <w:bottom w:type="dxa" w:w="50"/>
              <w:right w:type="dxa" w:w="90"/>
            </w:tcMar>
            <w:vAlign w:val="center"/>
          </w:tcPr>
          <w:p>
            <w:pPr>
              <w:spacing w:after="0"/>
              <w:jc w:val="center"/>
            </w:pPr>
            <w:r>
              <w:rPr>
                <w:b/>
                <w:bCs/>
                <w:color w:val="9C7A1E"/>
                <w:sz w:val="22"/>
                <w:szCs w:val="22"/>
              </w:rPr>
              <w:t xml:space="preserve">⊘</w:t>
            </w:r>
          </w:p>
        </w:tc>
      </w:tr>
      <w:tr>
        <w:tc>
          <w:tcPr>
            <w:tcW w:type="dxa" w:w="5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6314F"/>
                <w:sz w:val="16"/>
                <w:szCs w:val="16"/>
              </w:rPr>
              <w:t xml:space="preserve">S4</w:t>
            </w:r>
          </w:p>
        </w:tc>
        <w:tc>
          <w:tcPr>
            <w:tcW w:type="dxa" w:w="18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B1F24"/>
                <w:sz w:val="16"/>
                <w:szCs w:val="16"/>
              </w:rPr>
              <w:t xml:space="preserve">List pending</w:t>
            </w:r>
          </w:p>
        </w:tc>
        <w:tc>
          <w:tcPr>
            <w:tcW w:type="dxa" w:w="354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color w:val="5B6670"/>
                <w:sz w:val="15"/>
                <w:szCs w:val="15"/>
              </w:rPr>
              <w:t xml:space="preserve">Enumerate scheduled, not-yet-delivered messages</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FBF1D8" w:color="auto" w:val="clear"/>
            <w:tcMar>
              <w:top w:type="dxa" w:w="50"/>
              <w:left w:type="dxa" w:w="90"/>
              <w:bottom w:type="dxa" w:w="50"/>
              <w:right w:type="dxa" w:w="90"/>
            </w:tcMar>
            <w:vAlign w:val="center"/>
          </w:tcPr>
          <w:p>
            <w:pPr>
              <w:spacing w:after="0"/>
              <w:jc w:val="center"/>
            </w:pPr>
            <w:r>
              <w:rPr>
                <w:b/>
                <w:bCs/>
                <w:color w:val="9C7A1E"/>
                <w:sz w:val="22"/>
                <w:szCs w:val="22"/>
              </w:rPr>
              <w:t xml:space="preserve">⊘</w:t>
            </w:r>
          </w:p>
        </w:tc>
        <w:tc>
          <w:tcPr>
            <w:tcW w:type="dxa" w:w="1134"/>
            <w:tcBorders>
              <w:top w:val="single" w:color="D4DAE0" w:sz="1"/>
              <w:left w:val="single" w:color="D4DAE0" w:sz="1"/>
              <w:bottom w:val="single" w:color="D4DAE0" w:sz="1"/>
              <w:right w:val="single" w:color="D4DAE0" w:sz="1"/>
            </w:tcBorders>
            <w:shd w:fill="FBF1D8" w:color="auto" w:val="clear"/>
            <w:tcMar>
              <w:top w:type="dxa" w:w="50"/>
              <w:left w:type="dxa" w:w="90"/>
              <w:bottom w:type="dxa" w:w="50"/>
              <w:right w:type="dxa" w:w="90"/>
            </w:tcMar>
            <w:vAlign w:val="center"/>
          </w:tcPr>
          <w:p>
            <w:pPr>
              <w:spacing w:after="0"/>
              <w:jc w:val="center"/>
            </w:pPr>
            <w:r>
              <w:rPr>
                <w:b/>
                <w:bCs/>
                <w:color w:val="9C7A1E"/>
                <w:sz w:val="22"/>
                <w:szCs w:val="22"/>
              </w:rPr>
              <w:t xml:space="preserve">⊘</w:t>
            </w:r>
          </w:p>
        </w:tc>
      </w:tr>
      <w:tr>
        <w:tc>
          <w:tcPr>
            <w:tcW w:type="dxa" w:w="5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6314F"/>
                <w:sz w:val="16"/>
                <w:szCs w:val="16"/>
              </w:rPr>
              <w:t xml:space="preserve">S5</w:t>
            </w:r>
          </w:p>
        </w:tc>
        <w:tc>
          <w:tcPr>
            <w:tcW w:type="dxa" w:w="18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B1F24"/>
                <w:sz w:val="16"/>
                <w:szCs w:val="16"/>
              </w:rPr>
              <w:t xml:space="preserve">Pub/sub (topic routing)</w:t>
            </w:r>
          </w:p>
        </w:tc>
        <w:tc>
          <w:tcPr>
            <w:tcW w:type="dxa" w:w="354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color w:val="5B6670"/>
                <w:sz w:val="15"/>
                <w:szCs w:val="15"/>
              </w:rPr>
              <w:t xml:space="preserve">Routing-key filtered subscriptions</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4"/>
            <w:tcBorders>
              <w:top w:val="single" w:color="D4DAE0" w:sz="1"/>
              <w:left w:val="single" w:color="D4DAE0" w:sz="1"/>
              <w:bottom w:val="single" w:color="D4DAE0" w:sz="1"/>
              <w:right w:val="single" w:color="D4DAE0" w:sz="1"/>
            </w:tcBorders>
            <w:shd w:fill="FBF1D8" w:color="auto" w:val="clear"/>
            <w:tcMar>
              <w:top w:type="dxa" w:w="50"/>
              <w:left w:type="dxa" w:w="90"/>
              <w:bottom w:type="dxa" w:w="50"/>
              <w:right w:type="dxa" w:w="90"/>
            </w:tcMar>
            <w:vAlign w:val="center"/>
          </w:tcPr>
          <w:p>
            <w:pPr>
              <w:spacing w:after="0"/>
              <w:jc w:val="center"/>
            </w:pPr>
            <w:r>
              <w:rPr>
                <w:b/>
                <w:bCs/>
                <w:color w:val="9C7A1E"/>
                <w:sz w:val="22"/>
                <w:szCs w:val="22"/>
              </w:rPr>
              <w:t xml:space="preserve">⊘</w:t>
            </w:r>
          </w:p>
        </w:tc>
      </w:tr>
      <w:tr>
        <w:tc>
          <w:tcPr>
            <w:tcW w:type="dxa" w:w="5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6314F"/>
                <w:sz w:val="16"/>
                <w:szCs w:val="16"/>
              </w:rPr>
              <w:t xml:space="preserve">S6</w:t>
            </w:r>
          </w:p>
        </w:tc>
        <w:tc>
          <w:tcPr>
            <w:tcW w:type="dxa" w:w="18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B1F24"/>
                <w:sz w:val="16"/>
                <w:szCs w:val="16"/>
              </w:rPr>
              <w:t xml:space="preserve">Fanout multicast</w:t>
            </w:r>
          </w:p>
        </w:tc>
        <w:tc>
          <w:tcPr>
            <w:tcW w:type="dxa" w:w="354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color w:val="5B6670"/>
                <w:sz w:val="15"/>
                <w:szCs w:val="15"/>
              </w:rPr>
              <w:t xml:space="preserve">One publish → every subscriber gets a copy</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4"/>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r>
      <w:tr>
        <w:tc>
          <w:tcPr>
            <w:tcW w:type="dxa" w:w="5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6314F"/>
                <w:sz w:val="16"/>
                <w:szCs w:val="16"/>
              </w:rPr>
              <w:t xml:space="preserve">S7</w:t>
            </w:r>
          </w:p>
        </w:tc>
        <w:tc>
          <w:tcPr>
            <w:tcW w:type="dxa" w:w="18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B1F24"/>
                <w:sz w:val="16"/>
                <w:szCs w:val="16"/>
              </w:rPr>
              <w:t xml:space="preserve">Explicit ack</w:t>
            </w:r>
          </w:p>
        </w:tc>
        <w:tc>
          <w:tcPr>
            <w:tcW w:type="dxa" w:w="354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color w:val="5B6670"/>
                <w:sz w:val="15"/>
                <w:szCs w:val="15"/>
              </w:rPr>
              <w:t xml:space="preserve">Consumer ack/nack + redelivery on crash</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4"/>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r>
      <w:tr>
        <w:tc>
          <w:tcPr>
            <w:tcW w:type="dxa" w:w="5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6314F"/>
                <w:sz w:val="16"/>
                <w:szCs w:val="16"/>
              </w:rPr>
              <w:t xml:space="preserve">S8</w:t>
            </w:r>
          </w:p>
        </w:tc>
        <w:tc>
          <w:tcPr>
            <w:tcW w:type="dxa" w:w="18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B1F24"/>
                <w:sz w:val="16"/>
                <w:szCs w:val="16"/>
              </w:rPr>
              <w:t xml:space="preserve">Poison → dead-letter</w:t>
            </w:r>
          </w:p>
        </w:tc>
        <w:tc>
          <w:tcPr>
            <w:tcW w:type="dxa" w:w="354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color w:val="5B6670"/>
                <w:sz w:val="15"/>
                <w:szCs w:val="15"/>
              </w:rPr>
              <w:t xml:space="preserve">Redeliver N times, then route to a DLQ</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4"/>
            <w:tcBorders>
              <w:top w:val="single" w:color="D4DAE0" w:sz="1"/>
              <w:left w:val="single" w:color="D4DAE0" w:sz="1"/>
              <w:bottom w:val="single" w:color="D4DAE0" w:sz="1"/>
              <w:right w:val="single" w:color="D4DAE0" w:sz="1"/>
            </w:tcBorders>
            <w:shd w:fill="FBF1D8" w:color="auto" w:val="clear"/>
            <w:tcMar>
              <w:top w:type="dxa" w:w="50"/>
              <w:left w:type="dxa" w:w="90"/>
              <w:bottom w:type="dxa" w:w="50"/>
              <w:right w:type="dxa" w:w="90"/>
            </w:tcMar>
            <w:vAlign w:val="center"/>
          </w:tcPr>
          <w:p>
            <w:pPr>
              <w:spacing w:after="0"/>
              <w:jc w:val="center"/>
            </w:pPr>
            <w:r>
              <w:rPr>
                <w:b/>
                <w:bCs/>
                <w:color w:val="9C7A1E"/>
                <w:sz w:val="22"/>
                <w:szCs w:val="22"/>
              </w:rPr>
              <w:t xml:space="preserve">⊘</w:t>
            </w:r>
          </w:p>
        </w:tc>
      </w:tr>
      <w:tr>
        <w:tc>
          <w:tcPr>
            <w:tcW w:type="dxa" w:w="5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6314F"/>
                <w:sz w:val="16"/>
                <w:szCs w:val="16"/>
              </w:rPr>
              <w:t xml:space="preserve">S9</w:t>
            </w:r>
          </w:p>
        </w:tc>
        <w:tc>
          <w:tcPr>
            <w:tcW w:type="dxa" w:w="18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B1F24"/>
                <w:sz w:val="16"/>
                <w:szCs w:val="16"/>
              </w:rPr>
              <w:t xml:space="preserve">Competing consumers</w:t>
            </w:r>
          </w:p>
        </w:tc>
        <w:tc>
          <w:tcPr>
            <w:tcW w:type="dxa" w:w="354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color w:val="5B6670"/>
                <w:sz w:val="15"/>
                <w:szCs w:val="15"/>
              </w:rPr>
              <w:t xml:space="preserve">Shared queue, work split fairly, no dupes</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4"/>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r>
      <w:tr>
        <w:tc>
          <w:tcPr>
            <w:tcW w:type="dxa" w:w="5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6314F"/>
                <w:sz w:val="16"/>
                <w:szCs w:val="16"/>
              </w:rPr>
              <w:t xml:space="preserve">S10</w:t>
            </w:r>
          </w:p>
        </w:tc>
        <w:tc>
          <w:tcPr>
            <w:tcW w:type="dxa" w:w="18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B1F24"/>
                <w:sz w:val="16"/>
                <w:szCs w:val="16"/>
              </w:rPr>
              <w:t xml:space="preserve">Idempotent consumer</w:t>
            </w:r>
          </w:p>
        </w:tc>
        <w:tc>
          <w:tcPr>
            <w:tcW w:type="dxa" w:w="354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color w:val="5B6670"/>
                <w:sz w:val="15"/>
                <w:szCs w:val="15"/>
              </w:rPr>
              <w:t xml:space="preserve">App-level dedup + fail-open on store outage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4"/>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r>
      <w:tr>
        <w:tc>
          <w:tcPr>
            <w:tcW w:type="dxa" w:w="5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6314F"/>
                <w:sz w:val="16"/>
                <w:szCs w:val="16"/>
              </w:rPr>
              <w:t xml:space="preserve">S11</w:t>
            </w:r>
          </w:p>
        </w:tc>
        <w:tc>
          <w:tcPr>
            <w:tcW w:type="dxa" w:w="18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B1F24"/>
                <w:sz w:val="16"/>
                <w:szCs w:val="16"/>
              </w:rPr>
              <w:t xml:space="preserve">Retry queue (non-blocking)</w:t>
            </w:r>
          </w:p>
        </w:tc>
        <w:tc>
          <w:tcPr>
            <w:tcW w:type="dxa" w:w="354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color w:val="5B6670"/>
                <w:sz w:val="15"/>
                <w:szCs w:val="15"/>
              </w:rPr>
              <w:t xml:space="preserve">Non-blocking delayed retry; healthy msgs flow</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4"/>
            <w:tcBorders>
              <w:top w:val="single" w:color="D4DAE0" w:sz="1"/>
              <w:left w:val="single" w:color="D4DAE0" w:sz="1"/>
              <w:bottom w:val="single" w:color="D4DAE0" w:sz="1"/>
              <w:right w:val="single" w:color="D4DAE0" w:sz="1"/>
            </w:tcBorders>
            <w:shd w:fill="FBF1D8" w:color="auto" w:val="clear"/>
            <w:tcMar>
              <w:top w:type="dxa" w:w="50"/>
              <w:left w:type="dxa" w:w="90"/>
              <w:bottom w:type="dxa" w:w="50"/>
              <w:right w:type="dxa" w:w="90"/>
            </w:tcMar>
            <w:vAlign w:val="center"/>
          </w:tcPr>
          <w:p>
            <w:pPr>
              <w:spacing w:after="0"/>
              <w:jc w:val="center"/>
            </w:pPr>
            <w:r>
              <w:rPr>
                <w:b/>
                <w:bCs/>
                <w:color w:val="9C7A1E"/>
                <w:sz w:val="22"/>
                <w:szCs w:val="22"/>
              </w:rPr>
              <w:t xml:space="preserve">⊘</w:t>
            </w:r>
          </w:p>
        </w:tc>
      </w:tr>
      <w:tr>
        <w:tc>
          <w:tcPr>
            <w:tcW w:type="dxa" w:w="5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6314F"/>
                <w:sz w:val="16"/>
                <w:szCs w:val="16"/>
              </w:rPr>
              <w:t xml:space="preserve">S12</w:t>
            </w:r>
          </w:p>
        </w:tc>
        <w:tc>
          <w:tcPr>
            <w:tcW w:type="dxa" w:w="18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B1F24"/>
                <w:sz w:val="16"/>
                <w:szCs w:val="16"/>
              </w:rPr>
              <w:t xml:space="preserve">Message groups</w:t>
            </w:r>
          </w:p>
        </w:tc>
        <w:tc>
          <w:tcPr>
            <w:tcW w:type="dxa" w:w="354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color w:val="5B6670"/>
                <w:sz w:val="15"/>
                <w:szCs w:val="15"/>
              </w:rPr>
              <w:t xml:space="preserve">Same key stays ordered, pinned to one consumer</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4"/>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r>
      <w:tr>
        <w:tc>
          <w:tcPr>
            <w:tcW w:type="dxa" w:w="5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6314F"/>
                <w:sz w:val="16"/>
                <w:szCs w:val="16"/>
              </w:rPr>
              <w:t xml:space="preserve">S13</w:t>
            </w:r>
          </w:p>
        </w:tc>
        <w:tc>
          <w:tcPr>
            <w:tcW w:type="dxa" w:w="18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B1F24"/>
                <w:sz w:val="16"/>
                <w:szCs w:val="16"/>
              </w:rPr>
              <w:t xml:space="preserve">Broker-native dedup</w:t>
            </w:r>
          </w:p>
        </w:tc>
        <w:tc>
          <w:tcPr>
            <w:tcW w:type="dxa" w:w="354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color w:val="5B6670"/>
                <w:sz w:val="15"/>
                <w:szCs w:val="15"/>
              </w:rPr>
              <w:t xml:space="preserve">Broker drops duplicate publishes</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FBF1D8" w:color="auto" w:val="clear"/>
            <w:tcMar>
              <w:top w:type="dxa" w:w="50"/>
              <w:left w:type="dxa" w:w="90"/>
              <w:bottom w:type="dxa" w:w="50"/>
              <w:right w:type="dxa" w:w="90"/>
            </w:tcMar>
            <w:vAlign w:val="center"/>
          </w:tcPr>
          <w:p>
            <w:pPr>
              <w:spacing w:after="0"/>
              <w:jc w:val="center"/>
            </w:pPr>
            <w:r>
              <w:rPr>
                <w:b/>
                <w:bCs/>
                <w:color w:val="9C7A1E"/>
                <w:sz w:val="22"/>
                <w:szCs w:val="22"/>
              </w:rPr>
              <w:t xml:space="preserve">⊘</w:t>
            </w:r>
          </w:p>
        </w:tc>
        <w:tc>
          <w:tcPr>
            <w:tcW w:type="dxa" w:w="1134"/>
            <w:tcBorders>
              <w:top w:val="single" w:color="D4DAE0" w:sz="1"/>
              <w:left w:val="single" w:color="D4DAE0" w:sz="1"/>
              <w:bottom w:val="single" w:color="D4DAE0" w:sz="1"/>
              <w:right w:val="single" w:color="D4DAE0" w:sz="1"/>
            </w:tcBorders>
            <w:shd w:fill="FBF1D8" w:color="auto" w:val="clear"/>
            <w:tcMar>
              <w:top w:type="dxa" w:w="50"/>
              <w:left w:type="dxa" w:w="90"/>
              <w:bottom w:type="dxa" w:w="50"/>
              <w:right w:type="dxa" w:w="90"/>
            </w:tcMar>
            <w:vAlign w:val="center"/>
          </w:tcPr>
          <w:p>
            <w:pPr>
              <w:spacing w:after="0"/>
              <w:jc w:val="center"/>
            </w:pPr>
            <w:r>
              <w:rPr>
                <w:b/>
                <w:bCs/>
                <w:color w:val="9C7A1E"/>
                <w:sz w:val="22"/>
                <w:szCs w:val="22"/>
              </w:rPr>
              <w:t xml:space="preserve">⊘</w:t>
            </w:r>
          </w:p>
        </w:tc>
      </w:tr>
      <w:tr>
        <w:tc>
          <w:tcPr>
            <w:tcW w:type="dxa" w:w="5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6314F"/>
                <w:sz w:val="16"/>
                <w:szCs w:val="16"/>
              </w:rPr>
              <w:t xml:space="preserve">S14</w:t>
            </w:r>
          </w:p>
        </w:tc>
        <w:tc>
          <w:tcPr>
            <w:tcW w:type="dxa" w:w="18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B1F24"/>
                <w:sz w:val="16"/>
                <w:szCs w:val="16"/>
              </w:rPr>
              <w:t xml:space="preserve">Priority</w:t>
            </w:r>
          </w:p>
        </w:tc>
        <w:tc>
          <w:tcPr>
            <w:tcW w:type="dxa" w:w="354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color w:val="5B6670"/>
                <w:sz w:val="15"/>
                <w:szCs w:val="15"/>
              </w:rPr>
              <w:t xml:space="preserve">High-priority message overtakes the backlog</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4"/>
            <w:tcBorders>
              <w:top w:val="single" w:color="D4DAE0" w:sz="1"/>
              <w:left w:val="single" w:color="D4DAE0" w:sz="1"/>
              <w:bottom w:val="single" w:color="D4DAE0" w:sz="1"/>
              <w:right w:val="single" w:color="D4DAE0" w:sz="1"/>
            </w:tcBorders>
            <w:shd w:fill="F7E2DE" w:color="auto" w:val="clear"/>
            <w:tcMar>
              <w:top w:type="dxa" w:w="50"/>
              <w:left w:type="dxa" w:w="90"/>
              <w:bottom w:type="dxa" w:w="50"/>
              <w:right w:type="dxa" w:w="90"/>
            </w:tcMar>
            <w:vAlign w:val="center"/>
          </w:tcPr>
          <w:p>
            <w:pPr>
              <w:spacing w:after="0"/>
              <w:jc w:val="center"/>
            </w:pPr>
            <w:r>
              <w:rPr>
                <w:b/>
                <w:bCs/>
                <w:color w:val="B0392B"/>
                <w:sz w:val="22"/>
                <w:szCs w:val="22"/>
              </w:rPr>
              <w:t xml:space="preserve">✗</w:t>
            </w:r>
          </w:p>
        </w:tc>
      </w:tr>
      <w:tr>
        <w:tc>
          <w:tcPr>
            <w:tcW w:type="dxa" w:w="5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6314F"/>
                <w:sz w:val="16"/>
                <w:szCs w:val="16"/>
              </w:rPr>
              <w:t xml:space="preserve">S15</w:t>
            </w:r>
          </w:p>
        </w:tc>
        <w:tc>
          <w:tcPr>
            <w:tcW w:type="dxa" w:w="18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B1F24"/>
                <w:sz w:val="16"/>
                <w:szCs w:val="16"/>
              </w:rPr>
              <w:t xml:space="preserve">Request/reply</w:t>
            </w:r>
          </w:p>
        </w:tc>
        <w:tc>
          <w:tcPr>
            <w:tcW w:type="dxa" w:w="354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color w:val="5B6670"/>
                <w:sz w:val="15"/>
                <w:szCs w:val="15"/>
              </w:rPr>
              <w:t xml:space="preserve">replyTo + correlationId RPC over messaging</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4"/>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r>
      <w:tr>
        <w:tc>
          <w:tcPr>
            <w:tcW w:type="dxa" w:w="5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6314F"/>
                <w:sz w:val="16"/>
                <w:szCs w:val="16"/>
              </w:rPr>
              <w:t xml:space="preserve">S16</w:t>
            </w:r>
          </w:p>
        </w:tc>
        <w:tc>
          <w:tcPr>
            <w:tcW w:type="dxa" w:w="18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B1F24"/>
                <w:sz w:val="16"/>
                <w:szCs w:val="16"/>
              </w:rPr>
              <w:t xml:space="preserve">TTL → expiry</w:t>
            </w:r>
          </w:p>
        </w:tc>
        <w:tc>
          <w:tcPr>
            <w:tcW w:type="dxa" w:w="354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color w:val="5B6670"/>
                <w:sz w:val="15"/>
                <w:szCs w:val="15"/>
              </w:rPr>
              <w:t xml:space="preserve">Unconsumed message expires to an expiry address</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4"/>
            <w:tcBorders>
              <w:top w:val="single" w:color="D4DAE0" w:sz="1"/>
              <w:left w:val="single" w:color="D4DAE0" w:sz="1"/>
              <w:bottom w:val="single" w:color="D4DAE0" w:sz="1"/>
              <w:right w:val="single" w:color="D4DAE0" w:sz="1"/>
            </w:tcBorders>
            <w:shd w:fill="F7E2DE" w:color="auto" w:val="clear"/>
            <w:tcMar>
              <w:top w:type="dxa" w:w="50"/>
              <w:left w:type="dxa" w:w="90"/>
              <w:bottom w:type="dxa" w:w="50"/>
              <w:right w:type="dxa" w:w="90"/>
            </w:tcMar>
            <w:vAlign w:val="center"/>
          </w:tcPr>
          <w:p>
            <w:pPr>
              <w:spacing w:after="0"/>
              <w:jc w:val="center"/>
            </w:pPr>
            <w:r>
              <w:rPr>
                <w:b/>
                <w:bCs/>
                <w:color w:val="B0392B"/>
                <w:sz w:val="22"/>
                <w:szCs w:val="22"/>
              </w:rPr>
              <w:t xml:space="preserve">✗</w:t>
            </w:r>
          </w:p>
        </w:tc>
      </w:tr>
      <w:tr>
        <w:tc>
          <w:tcPr>
            <w:tcW w:type="dxa" w:w="5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6314F"/>
                <w:sz w:val="16"/>
                <w:szCs w:val="16"/>
              </w:rPr>
              <w:t xml:space="preserve">S17</w:t>
            </w:r>
          </w:p>
        </w:tc>
        <w:tc>
          <w:tcPr>
            <w:tcW w:type="dxa" w:w="18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B1F24"/>
                <w:sz w:val="16"/>
                <w:szCs w:val="16"/>
              </w:rPr>
              <w:t xml:space="preserve">Durable subscription</w:t>
            </w:r>
          </w:p>
        </w:tc>
        <w:tc>
          <w:tcPr>
            <w:tcW w:type="dxa" w:w="354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color w:val="5B6670"/>
                <w:sz w:val="15"/>
                <w:szCs w:val="15"/>
              </w:rPr>
              <w:t xml:space="preserve">Offline subscriber gets messages on reattach</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4"/>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r>
      <w:tr>
        <w:tc>
          <w:tcPr>
            <w:tcW w:type="dxa" w:w="5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6314F"/>
                <w:sz w:val="16"/>
                <w:szCs w:val="16"/>
              </w:rPr>
              <w:t xml:space="preserve">S18</w:t>
            </w:r>
          </w:p>
        </w:tc>
        <w:tc>
          <w:tcPr>
            <w:tcW w:type="dxa" w:w="186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b/>
                <w:bCs/>
                <w:color w:val="1B1F24"/>
                <w:sz w:val="16"/>
                <w:szCs w:val="16"/>
              </w:rPr>
              <w:t xml:space="preserve">Single active consumer</w:t>
            </w:r>
          </w:p>
        </w:tc>
        <w:tc>
          <w:tcPr>
            <w:tcW w:type="dxa" w:w="354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pPr>
            <w:r>
              <w:rPr>
                <w:color w:val="5B6670"/>
                <w:sz w:val="15"/>
                <w:szCs w:val="15"/>
              </w:rPr>
              <w:t xml:space="preserve">One active, standby fails over, order kept</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4"/>
            <w:tcBorders>
              <w:top w:val="single" w:color="D4DAE0" w:sz="1"/>
              <w:left w:val="single" w:color="D4DAE0" w:sz="1"/>
              <w:bottom w:val="single" w:color="D4DAE0" w:sz="1"/>
              <w:right w:val="single" w:color="D4DAE0" w:sz="1"/>
            </w:tcBorders>
            <w:shd w:fill="F7E2DE" w:color="auto" w:val="clear"/>
            <w:tcMar>
              <w:top w:type="dxa" w:w="50"/>
              <w:left w:type="dxa" w:w="90"/>
              <w:bottom w:type="dxa" w:w="50"/>
              <w:right w:type="dxa" w:w="90"/>
            </w:tcMar>
            <w:vAlign w:val="center"/>
          </w:tcPr>
          <w:p>
            <w:pPr>
              <w:spacing w:after="0"/>
              <w:jc w:val="center"/>
            </w:pPr>
            <w:r>
              <w:rPr>
                <w:b/>
                <w:bCs/>
                <w:color w:val="B0392B"/>
                <w:sz w:val="22"/>
                <w:szCs w:val="22"/>
              </w:rPr>
              <w:t xml:space="preserve">✗</w:t>
            </w:r>
          </w:p>
        </w:tc>
      </w:tr>
      <w:tr>
        <w:tc>
          <w:tcPr>
            <w:tcW w:type="dxa" w:w="5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6314F"/>
                <w:sz w:val="16"/>
                <w:szCs w:val="16"/>
              </w:rPr>
              <w:t xml:space="preserve">S19</w:t>
            </w:r>
          </w:p>
        </w:tc>
        <w:tc>
          <w:tcPr>
            <w:tcW w:type="dxa" w:w="186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b/>
                <w:bCs/>
                <w:color w:val="1B1F24"/>
                <w:sz w:val="16"/>
                <w:szCs w:val="16"/>
              </w:rPr>
              <w:t xml:space="preserve">Stream replay</w:t>
            </w:r>
          </w:p>
        </w:tc>
        <w:tc>
          <w:tcPr>
            <w:tcW w:type="dxa" w:w="3540"/>
            <w:tcBorders>
              <w:top w:val="single" w:color="D4DAE0" w:sz="1"/>
              <w:left w:val="single" w:color="D4DAE0" w:sz="1"/>
              <w:bottom w:val="single" w:color="D4DAE0" w:sz="1"/>
              <w:right w:val="single" w:color="D4DAE0" w:sz="1"/>
            </w:tcBorders>
            <w:shd w:fill="FFFFFF" w:color="auto" w:val="clear"/>
            <w:tcMar>
              <w:top w:type="dxa" w:w="50"/>
              <w:left w:type="dxa" w:w="90"/>
              <w:bottom w:type="dxa" w:w="50"/>
              <w:right w:type="dxa" w:w="90"/>
            </w:tcMar>
            <w:vAlign w:val="center"/>
          </w:tcPr>
          <w:p>
            <w:pPr>
              <w:spacing w:after="0" w:line="248"/>
            </w:pPr>
            <w:r>
              <w:rPr>
                <w:color w:val="5B6670"/>
                <w:sz w:val="15"/>
                <w:szCs w:val="15"/>
              </w:rPr>
              <w:t xml:space="preserve">New subscriber replays full history from offset 0</w:t>
            </w:r>
          </w:p>
        </w:tc>
        <w:tc>
          <w:tcPr>
            <w:tcW w:type="dxa" w:w="1133"/>
            <w:tcBorders>
              <w:top w:val="single" w:color="D4DAE0" w:sz="1"/>
              <w:left w:val="single" w:color="D4DAE0" w:sz="1"/>
              <w:bottom w:val="single" w:color="D4DAE0" w:sz="1"/>
              <w:right w:val="single" w:color="D4DAE0" w:sz="1"/>
            </w:tcBorders>
            <w:shd w:fill="FBF1D8" w:color="auto" w:val="clear"/>
            <w:tcMar>
              <w:top w:type="dxa" w:w="50"/>
              <w:left w:type="dxa" w:w="90"/>
              <w:bottom w:type="dxa" w:w="50"/>
              <w:right w:type="dxa" w:w="90"/>
            </w:tcMar>
            <w:vAlign w:val="center"/>
          </w:tcPr>
          <w:p>
            <w:pPr>
              <w:spacing w:after="0"/>
              <w:jc w:val="center"/>
            </w:pPr>
            <w:r>
              <w:rPr>
                <w:b/>
                <w:bCs/>
                <w:color w:val="9C7A1E"/>
                <w:sz w:val="22"/>
                <w:szCs w:val="22"/>
              </w:rPr>
              <w:t xml:space="preserve">⊘</w:t>
            </w:r>
          </w:p>
        </w:tc>
        <w:tc>
          <w:tcPr>
            <w:tcW w:type="dxa" w:w="1133"/>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c>
          <w:tcPr>
            <w:tcW w:type="dxa" w:w="1134"/>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jc w:val="center"/>
            </w:pPr>
            <w:r>
              <w:rPr>
                <w:b/>
                <w:bCs/>
                <w:color w:val="1A7A4E"/>
                <w:sz w:val="22"/>
                <w:szCs w:val="22"/>
              </w:rPr>
              <w:t xml:space="preserve">✓</w:t>
            </w:r>
          </w:p>
        </w:tc>
      </w:tr>
      <w:tr>
        <w:tc>
          <w:tcPr>
            <w:tcW w:type="dxa" w:w="560"/>
            <w:tcBorders>
              <w:top w:val="single" w:color="D4DAE0" w:sz="1"/>
              <w:left w:val="single" w:color="D4DAE0" w:sz="1"/>
              <w:bottom w:val="single" w:color="D4DAE0" w:sz="1"/>
              <w:right w:val="single" w:color="D4DAE0" w:sz="1"/>
            </w:tcBorders>
            <w:shd w:fill="16314F" w:color="auto" w:val="clear"/>
            <w:tcMar>
              <w:top w:type="dxa" w:w="50"/>
              <w:left w:type="dxa" w:w="90"/>
              <w:bottom w:type="dxa" w:w="50"/>
              <w:right w:type="dxa" w:w="90"/>
            </w:tcMar>
            <w:vAlign w:val="center"/>
          </w:tcPr>
          <w:p>
            <w:pPr>
              <w:spacing w:after="0" w:line="248"/>
            </w:pPr>
            <w:r>
              <w:rPr>
                <w:color w:val="1B1F24"/>
                <w:sz w:val="18"/>
                <w:szCs w:val="18"/>
              </w:rPr>
              <w:t xml:space="preserve"/>
            </w:r>
          </w:p>
        </w:tc>
        <w:tc>
          <w:tcPr>
            <w:tcW w:type="dxa" w:w="1860"/>
            <w:tcBorders>
              <w:top w:val="single" w:color="D4DAE0" w:sz="1"/>
              <w:left w:val="single" w:color="D4DAE0" w:sz="1"/>
              <w:bottom w:val="single" w:color="D4DAE0" w:sz="1"/>
              <w:right w:val="single" w:color="D4DAE0" w:sz="1"/>
            </w:tcBorders>
            <w:shd w:fill="16314F" w:color="auto" w:val="clear"/>
            <w:tcMar>
              <w:top w:type="dxa" w:w="50"/>
              <w:left w:type="dxa" w:w="90"/>
              <w:bottom w:type="dxa" w:w="50"/>
              <w:right w:type="dxa" w:w="90"/>
            </w:tcMar>
            <w:vAlign w:val="center"/>
          </w:tcPr>
          <w:p>
            <w:pPr>
              <w:spacing w:after="0" w:line="248"/>
            </w:pPr>
            <w:r>
              <w:rPr>
                <w:b/>
                <w:bCs/>
                <w:color w:val="FFFFFF"/>
                <w:sz w:val="16"/>
                <w:szCs w:val="16"/>
              </w:rPr>
              <w:t xml:space="preserve">TOTAL</w:t>
            </w:r>
          </w:p>
        </w:tc>
        <w:tc>
          <w:tcPr>
            <w:tcW w:type="dxa" w:w="3540"/>
            <w:tcBorders>
              <w:top w:val="single" w:color="D4DAE0" w:sz="1"/>
              <w:left w:val="single" w:color="D4DAE0" w:sz="1"/>
              <w:bottom w:val="single" w:color="D4DAE0" w:sz="1"/>
              <w:right w:val="single" w:color="D4DAE0" w:sz="1"/>
            </w:tcBorders>
            <w:shd w:fill="16314F" w:color="auto" w:val="clear"/>
            <w:tcMar>
              <w:top w:type="dxa" w:w="50"/>
              <w:left w:type="dxa" w:w="90"/>
              <w:bottom w:type="dxa" w:w="50"/>
              <w:right w:type="dxa" w:w="90"/>
            </w:tcMar>
            <w:vAlign w:val="center"/>
          </w:tcPr>
          <w:p>
            <w:pPr>
              <w:spacing w:after="0" w:line="248"/>
            </w:pPr>
            <w:r>
              <w:rPr>
                <w:i/>
                <w:iCs/>
                <w:color w:val="CFE6E4"/>
                <w:sz w:val="14"/>
                <w:szCs w:val="14"/>
              </w:rPr>
              <w:t xml:space="preserve">19 scenarios · run 2 (idempotency fail-open fixed)</w:t>
            </w:r>
          </w:p>
        </w:tc>
        <w:tc>
          <w:tcPr>
            <w:tcW w:type="dxa" w:w="1133"/>
            <w:tcBorders>
              <w:top w:val="single" w:color="D4DAE0" w:sz="1"/>
              <w:left w:val="single" w:color="D4DAE0" w:sz="1"/>
              <w:bottom w:val="single" w:color="D4DAE0" w:sz="1"/>
              <w:right w:val="single" w:color="D4DAE0" w:sz="1"/>
            </w:tcBorders>
            <w:shd w:fill="0F6E6E" w:color="auto" w:val="clear"/>
            <w:tcMar>
              <w:top w:type="dxa" w:w="50"/>
              <w:left w:type="dxa" w:w="90"/>
              <w:bottom w:type="dxa" w:w="50"/>
              <w:right w:type="dxa" w:w="90"/>
            </w:tcMar>
            <w:vAlign w:val="center"/>
          </w:tcPr>
          <w:p>
            <w:pPr>
              <w:spacing w:after="0" w:line="248"/>
              <w:jc w:val="center"/>
            </w:pPr>
            <w:r>
              <w:rPr>
                <w:b/>
                <w:bCs/>
                <w:color w:val="FFFFFF"/>
                <w:sz w:val="13"/>
                <w:szCs w:val="13"/>
              </w:rPr>
              <w:t xml:space="preserve">18✓ 1⊘ 0✗</w:t>
            </w:r>
          </w:p>
        </w:tc>
        <w:tc>
          <w:tcPr>
            <w:tcW w:type="dxa" w:w="1133"/>
            <w:tcBorders>
              <w:top w:val="single" w:color="D4DAE0" w:sz="1"/>
              <w:left w:val="single" w:color="D4DAE0" w:sz="1"/>
              <w:bottom w:val="single" w:color="D4DAE0" w:sz="1"/>
              <w:right w:val="single" w:color="D4DAE0" w:sz="1"/>
            </w:tcBorders>
            <w:shd w:fill="B5572A" w:color="auto" w:val="clear"/>
            <w:tcMar>
              <w:top w:type="dxa" w:w="50"/>
              <w:left w:type="dxa" w:w="90"/>
              <w:bottom w:type="dxa" w:w="50"/>
              <w:right w:type="dxa" w:w="90"/>
            </w:tcMar>
            <w:vAlign w:val="center"/>
          </w:tcPr>
          <w:p>
            <w:pPr>
              <w:spacing w:after="0" w:line="248"/>
              <w:jc w:val="center"/>
            </w:pPr>
            <w:r>
              <w:rPr>
                <w:b/>
                <w:bCs/>
                <w:color w:val="FFFFFF"/>
                <w:sz w:val="13"/>
                <w:szCs w:val="13"/>
              </w:rPr>
              <w:t xml:space="preserve">16✓ 3⊘ 0✗</w:t>
            </w:r>
          </w:p>
        </w:tc>
        <w:tc>
          <w:tcPr>
            <w:tcW w:type="dxa" w:w="1134"/>
            <w:tcBorders>
              <w:top w:val="single" w:color="D4DAE0" w:sz="1"/>
              <w:left w:val="single" w:color="D4DAE0" w:sz="1"/>
              <w:bottom w:val="single" w:color="D4DAE0" w:sz="1"/>
              <w:right w:val="single" w:color="D4DAE0" w:sz="1"/>
            </w:tcBorders>
            <w:shd w:fill="43479B" w:color="auto" w:val="clear"/>
            <w:tcMar>
              <w:top w:type="dxa" w:w="50"/>
              <w:left w:type="dxa" w:w="90"/>
              <w:bottom w:type="dxa" w:w="50"/>
              <w:right w:type="dxa" w:w="90"/>
            </w:tcMar>
            <w:vAlign w:val="center"/>
          </w:tcPr>
          <w:p>
            <w:pPr>
              <w:spacing w:after="0" w:line="248"/>
              <w:jc w:val="center"/>
            </w:pPr>
            <w:r>
              <w:rPr>
                <w:b/>
                <w:bCs/>
                <w:color w:val="FFFFFF"/>
                <w:sz w:val="13"/>
                <w:szCs w:val="13"/>
              </w:rPr>
              <w:t xml:space="preserve">9✓ 6⊘ 4✗</w:t>
            </w:r>
          </w:p>
        </w:tc>
      </w:tr>
    </w:tbl>
    <w:p>
      <w:pPr>
        <w:spacing w:after="30"/>
      </w:pPr>
      <w:r>
        <w:rPr>
          <w:i/>
          <w:iCs/>
          <w:color w:val="5B6670"/>
          <w:sz w:val="17"/>
          <w:szCs w:val="17"/>
        </w:rPr>
        <w:t xml:space="preserve">Run 2: the idempotency fail-open path is fixed, so S10 now passes on all three brokers.</w:t>
      </w:r>
    </w:p>
    <w:p>
      <w:pPr>
        <w:spacing w:after="60"/>
      </w:pPr>
      <w:r>
        <w:rPr>
          <w:i/>
          <w:iCs/>
          <w:color w:val="B5572A"/>
          <w:sz w:val="17"/>
          <w:szCs w:val="17"/>
        </w:rPr>
        <w:t xml:space="preserve">* RabbitMQ scheduling (S2) rides the now-archived delayed-message plugin plus expiration-based orchestration — it passes, but is more operationally involved than Artemis’s broker-native scheduling.</w:t>
      </w:r>
    </w:p>
    <w:p>
      <w:pPr>
        <w:pStyle w:val="Heading1"/>
      </w:pPr>
      <w:r>
        <w:rPr>
          <w:b/>
          <w:bCs/>
          <w:color w:val="16314F"/>
          <w:sz w:val="28"/>
          <w:szCs w:val="28"/>
        </w:rPr>
        <w:t xml:space="preserve">4.  Reading the three brokers</w:t>
      </w:r>
    </w:p>
    <w:p>
      <w:pPr>
        <w:spacing w:after="120" w:line="276"/>
      </w:pPr>
      <w:r>
        <w:rPr>
          <w:color w:val="1B1F24"/>
          <w:sz w:val="21"/>
          <w:szCs w:val="21"/>
        </w:rPr>
        <w:t xml:space="preserve">Artemis and RabbitMQ have zero failures; Kafka’s four fails are all log-vs-queue boundaries.</w:t>
      </w:r>
    </w:p>
    <w:tbl>
      <w:tblPr>
        <w:tblW w:type="dxa" w:w="9360"/>
        <w:tblBorders>
          <w:top w:val="single" w:color="0F6E6E" w:sz="4"/>
          <w:left w:val="single" w:color="0F6E6E" w:sz="4"/>
          <w:bottom w:val="single" w:color="0F6E6E" w:sz="4"/>
          <w:right w:val="single" w:color="0F6E6E" w:sz="4"/>
          <w:insideH w:val="none"/>
          <w:insideV w:val="none"/>
        </w:tblBorders>
      </w:tblPr>
      <w:tblGrid>
        <w:gridCol w:w="9360"/>
      </w:tblGrid>
      <w:tr>
        <w:tc>
          <w:tcPr>
            <w:tcW w:type="dxa" w:w="9360"/>
            <w:shd w:fill="E9F2F1" w:color="auto" w:val="clear"/>
            <w:tcMar>
              <w:top w:type="dxa" w:w="120"/>
              <w:left w:type="dxa" w:w="170"/>
              <w:bottom w:type="dxa" w:w="120"/>
              <w:right w:type="dxa" w:w="170"/>
            </w:tcMar>
          </w:tcPr>
          <w:p>
            <w:pPr>
              <w:spacing w:after="70"/>
            </w:pPr>
            <w:r>
              <w:rPr>
                <w:b/>
                <w:bCs/>
                <w:color w:val="0F6E6E"/>
                <w:sz w:val="22"/>
                <w:szCs w:val="22"/>
              </w:rPr>
              <w:t xml:space="preserve">Apache ActiveMQ Artemis — broadest fit (18 / 1 / 0)</w:t>
            </w:r>
          </w:p>
          <w:p>
            <w:pPr>
              <w:spacing w:after="60" w:line="248"/>
            </w:pPr>
            <w:r>
              <w:rPr>
                <w:b/>
                <w:bCs/>
                <w:color w:val="1A7A4E"/>
                <w:sz w:val="18"/>
                <w:szCs w:val="18"/>
              </w:rPr>
              <w:t xml:space="preserve">✓ Passes:  </w:t>
            </w:r>
            <w:r>
              <w:rPr>
                <w:color w:val="1B1F24"/>
                <w:sz w:val="18"/>
                <w:szCs w:val="18"/>
              </w:rPr>
              <w:t xml:space="preserve">S1–S18 — the full queue/scheduler surface, including native scheduling, cancel, list (S2–S4), broker-native dedup (S13), and idempotent fail-open (S10).</w:t>
            </w:r>
          </w:p>
          <w:p>
            <w:pPr>
              <w:spacing w:after="60" w:line="248"/>
            </w:pPr>
            <w:r>
              <w:rPr>
                <w:b/>
                <w:bCs/>
                <w:color w:val="9C7A1E"/>
                <w:sz w:val="18"/>
                <w:szCs w:val="18"/>
              </w:rPr>
              <w:t xml:space="preserve">⊘ Unsupported:  </w:t>
            </w:r>
            <w:r>
              <w:rPr>
                <w:color w:val="1B1F24"/>
                <w:sz w:val="18"/>
                <w:szCs w:val="18"/>
              </w:rPr>
              <w:t xml:space="preserve">S19 (stream replay) — it is a queue; consumed messages are gone.</w:t>
            </w:r>
          </w:p>
          <w:p>
            <w:pPr>
              <w:spacing w:after="60" w:line="248"/>
            </w:pPr>
            <w:r>
              <w:rPr>
                <w:b/>
                <w:bCs/>
                <w:color w:val="B0392B"/>
                <w:sz w:val="18"/>
                <w:szCs w:val="18"/>
              </w:rPr>
              <w:t xml:space="preserve">✗ Fails:  </w:t>
            </w:r>
            <w:r>
              <w:rPr>
                <w:color w:val="1B1F24"/>
                <w:sz w:val="18"/>
                <w:szCs w:val="18"/>
              </w:rPr>
              <w:t xml:space="preserve">None.</w:t>
            </w:r>
          </w:p>
          <w:p>
            <w:pPr>
              <w:spacing w:after="0" w:line="248"/>
            </w:pPr>
            <w:r>
              <w:rPr>
                <w:i/>
                <w:iCs/>
                <w:color w:val="5B6670"/>
                <w:sz w:val="17"/>
                <w:szCs w:val="17"/>
              </w:rPr>
              <w:t xml:space="preserve">Net: the only broker that does broker-native scheduling + cancel + list AND native dedup. Its one gap is replay.</w:t>
            </w:r>
          </w:p>
        </w:tc>
      </w:tr>
    </w:tbl>
    <w:p>
      <w:pPr>
        <w:spacing w:after="100"/>
      </w:pPr>
    </w:p>
    <w:tbl>
      <w:tblPr>
        <w:tblW w:type="dxa" w:w="9360"/>
        <w:tblBorders>
          <w:top w:val="single" w:color="B5572A" w:sz="4"/>
          <w:left w:val="single" w:color="B5572A" w:sz="4"/>
          <w:bottom w:val="single" w:color="B5572A" w:sz="4"/>
          <w:right w:val="single" w:color="B5572A" w:sz="4"/>
          <w:insideH w:val="none"/>
          <w:insideV w:val="none"/>
        </w:tblBorders>
      </w:tblPr>
      <w:tblGrid>
        <w:gridCol w:w="9360"/>
      </w:tblGrid>
      <w:tr>
        <w:tc>
          <w:tcPr>
            <w:tcW w:type="dxa" w:w="9360"/>
            <w:shd w:fill="F6ECE4" w:color="auto" w:val="clear"/>
            <w:tcMar>
              <w:top w:type="dxa" w:w="120"/>
              <w:left w:type="dxa" w:w="170"/>
              <w:bottom w:type="dxa" w:w="120"/>
              <w:right w:type="dxa" w:w="170"/>
            </w:tcMar>
          </w:tcPr>
          <w:p>
            <w:pPr>
              <w:spacing w:after="70"/>
            </w:pPr>
            <w:r>
              <w:rPr>
                <w:b/>
                <w:bCs/>
                <w:color w:val="B5572A"/>
                <w:sz w:val="22"/>
                <w:szCs w:val="22"/>
              </w:rPr>
              <w:t xml:space="preserve">RabbitMQ — the middle (16 / 3 / 0)</w:t>
            </w:r>
          </w:p>
          <w:p>
            <w:pPr>
              <w:spacing w:after="60" w:line="248"/>
            </w:pPr>
            <w:r>
              <w:rPr>
                <w:b/>
                <w:bCs/>
                <w:color w:val="1A7A4E"/>
                <w:sz w:val="18"/>
                <w:szCs w:val="18"/>
              </w:rPr>
              <w:t xml:space="preserve">✓ Passes:  </w:t>
            </w:r>
            <w:r>
              <w:rPr>
                <w:color w:val="1B1F24"/>
                <w:sz w:val="18"/>
                <w:szCs w:val="18"/>
              </w:rPr>
              <w:t xml:space="preserve">S1, S2, S5–S12, S14–S19 — full pub/sub, DLQ, retry, priority, groups, idempotent fail-open (S10), and stream replay (S19) via stream queues.</w:t>
            </w:r>
          </w:p>
          <w:p>
            <w:pPr>
              <w:spacing w:after="60" w:line="248"/>
            </w:pPr>
            <w:r>
              <w:rPr>
                <w:b/>
                <w:bCs/>
                <w:color w:val="9C7A1E"/>
                <w:sz w:val="18"/>
                <w:szCs w:val="18"/>
              </w:rPr>
              <w:t xml:space="preserve">⊘ Unsupported:  </w:t>
            </w:r>
            <w:r>
              <w:rPr>
                <w:color w:val="1B1F24"/>
                <w:sz w:val="18"/>
                <w:szCs w:val="18"/>
              </w:rPr>
              <w:t xml:space="preserve">S3, S4 (no scheduled-message cancel/list) and S13 (no broker-native dedup).</w:t>
            </w:r>
          </w:p>
          <w:p>
            <w:pPr>
              <w:spacing w:after="60" w:line="248"/>
            </w:pPr>
            <w:r>
              <w:rPr>
                <w:b/>
                <w:bCs/>
                <w:color w:val="B0392B"/>
                <w:sz w:val="18"/>
                <w:szCs w:val="18"/>
              </w:rPr>
              <w:t xml:space="preserve">✗ Fails:  </w:t>
            </w:r>
            <w:r>
              <w:rPr>
                <w:color w:val="1B1F24"/>
                <w:sz w:val="18"/>
                <w:szCs w:val="18"/>
              </w:rPr>
              <w:t xml:space="preserve">None.</w:t>
            </w:r>
          </w:p>
          <w:p>
            <w:pPr>
              <w:spacing w:after="0" w:line="248"/>
            </w:pPr>
            <w:r>
              <w:rPr>
                <w:i/>
                <w:iCs/>
                <w:color w:val="5B6670"/>
                <w:sz w:val="17"/>
                <w:szCs w:val="17"/>
              </w:rPr>
              <w:t xml:space="preserve">Net: strong all-rounder, but scheduling has no cancel/list, dedup is the consumer’s job, and scheduled delivery rides the delayed-message plugin (archived April 2026).</w:t>
            </w:r>
          </w:p>
        </w:tc>
      </w:tr>
    </w:tbl>
    <w:p>
      <w:pPr>
        <w:spacing w:after="100"/>
      </w:pPr>
    </w:p>
    <w:tbl>
      <w:tblPr>
        <w:tblW w:type="dxa" w:w="9360"/>
        <w:tblBorders>
          <w:top w:val="single" w:color="43479B" w:sz="4"/>
          <w:left w:val="single" w:color="43479B" w:sz="4"/>
          <w:bottom w:val="single" w:color="43479B" w:sz="4"/>
          <w:right w:val="single" w:color="43479B" w:sz="4"/>
          <w:insideH w:val="none"/>
          <w:insideV w:val="none"/>
        </w:tblBorders>
      </w:tblPr>
      <w:tblGrid>
        <w:gridCol w:w="9360"/>
      </w:tblGrid>
      <w:tr>
        <w:tc>
          <w:tcPr>
            <w:tcW w:type="dxa" w:w="9360"/>
            <w:shd w:fill="ECEDF6" w:color="auto" w:val="clear"/>
            <w:tcMar>
              <w:top w:type="dxa" w:w="120"/>
              <w:left w:type="dxa" w:w="170"/>
              <w:bottom w:type="dxa" w:w="120"/>
              <w:right w:type="dxa" w:w="170"/>
            </w:tcMar>
          </w:tcPr>
          <w:p>
            <w:pPr>
              <w:spacing w:after="70"/>
            </w:pPr>
            <w:r>
              <w:rPr>
                <w:b/>
                <w:bCs/>
                <w:color w:val="43479B"/>
                <w:sz w:val="22"/>
                <w:szCs w:val="22"/>
              </w:rPr>
              <w:t xml:space="preserve">Apache Kafka — a log, not a queue (9 / 6 / 4)</w:t>
            </w:r>
          </w:p>
          <w:p>
            <w:pPr>
              <w:spacing w:after="60" w:line="248"/>
            </w:pPr>
            <w:r>
              <w:rPr>
                <w:b/>
                <w:bCs/>
                <w:color w:val="1A7A4E"/>
                <w:sz w:val="18"/>
                <w:szCs w:val="18"/>
              </w:rPr>
              <w:t xml:space="preserve">✓ Passes:  </w:t>
            </w:r>
            <w:r>
              <w:rPr>
                <w:color w:val="1B1F24"/>
                <w:sz w:val="18"/>
                <w:szCs w:val="18"/>
              </w:rPr>
              <w:t xml:space="preserve">S1, S6, S7, S9, S10, S12, S15, S17, S19 — exactly where logs win: fanout, competing consumers, partitioned ordering, durable-offset subscriptions, and full-history replay.</w:t>
            </w:r>
          </w:p>
          <w:p>
            <w:pPr>
              <w:spacing w:after="60" w:line="248"/>
            </w:pPr>
            <w:r>
              <w:rPr>
                <w:b/>
                <w:bCs/>
                <w:color w:val="9C7A1E"/>
                <w:sz w:val="18"/>
                <w:szCs w:val="18"/>
              </w:rPr>
              <w:t xml:space="preserve">⊘ Unsupported:  </w:t>
            </w:r>
            <w:r>
              <w:rPr>
                <w:color w:val="1B1F24"/>
                <w:sz w:val="18"/>
                <w:szCs w:val="18"/>
              </w:rPr>
              <w:t xml:space="preserve">S3, S4, S5, S8, S11, S13 — cancel/list, topic-filtering, dead-letter, retry queue, native dedup: primitives a partitioned log doesn’t have.</w:t>
            </w:r>
          </w:p>
          <w:p>
            <w:pPr>
              <w:spacing w:after="60" w:line="248"/>
            </w:pPr>
            <w:r>
              <w:rPr>
                <w:b/>
                <w:bCs/>
                <w:color w:val="B0392B"/>
                <w:sz w:val="18"/>
                <w:szCs w:val="18"/>
              </w:rPr>
              <w:t xml:space="preserve">✗ Fails:  </w:t>
            </w:r>
            <w:r>
              <w:rPr>
                <w:color w:val="1B1F24"/>
                <w:sz w:val="18"/>
                <w:szCs w:val="18"/>
              </w:rPr>
              <w:t xml:space="preserve">S2 (delivered early), S14 (no priority), S16 (no per-message TTL), S18 (no single-active).</w:t>
            </w:r>
          </w:p>
          <w:p>
            <w:pPr>
              <w:spacing w:after="0" w:line="248"/>
            </w:pPr>
            <w:r>
              <w:rPr>
                <w:i/>
                <w:iCs/>
                <w:color w:val="5B6670"/>
                <w:sz w:val="17"/>
                <w:szCs w:val="17"/>
              </w:rPr>
              <w:t xml:space="preserve">Net: its gaps are the boundary of a partitioned log, not bugs. Kafka is excellent for the streaming workloads it already serves.</w:t>
            </w:r>
          </w:p>
        </w:tc>
      </w:tr>
    </w:tbl>
    <w:p>
      <w:pPr>
        <w:pStyle w:val="Heading1"/>
      </w:pPr>
      <w:r>
        <w:rPr>
          <w:b/>
          <w:bCs/>
          <w:color w:val="16314F"/>
          <w:sz w:val="28"/>
          <w:szCs w:val="28"/>
        </w:rPr>
        <w:t xml:space="preserve">5.  The headline: log vs queue / scheduler</w:t>
      </w:r>
    </w:p>
    <w:p>
      <w:pPr>
        <w:spacing w:after="140" w:line="276"/>
      </w:pPr>
      <w:r>
        <w:rPr>
          <w:color w:val="1B1F24"/>
          <w:sz w:val="21"/>
          <w:szCs w:val="21"/>
        </w:rPr>
        <w:t xml:space="preserve">One distinction explains almost the entire matrix. </w:t>
      </w:r>
      <w:r>
        <w:rPr>
          <w:b/>
          <w:bCs/>
          <w:color w:val="1B1F24"/>
          <w:sz w:val="21"/>
          <w:szCs w:val="21"/>
        </w:rPr>
        <w:t xml:space="preserve">Kafka is a partitioned, append-only log</w:t>
      </w:r>
      <w:r>
        <w:rPr>
          <w:color w:val="1B1F24"/>
          <w:sz w:val="21"/>
          <w:szCs w:val="21"/>
        </w:rPr>
        <w:t xml:space="preserve">; Artemis and RabbitMQ are queue/broker systems. Kafka’s fails and unsupported scenarios cluster precisely on queue/scheduler features (timed delivery, priority, per-message TTL, single-active, dead-letter, cancel/list), while it wins on log features (fanout, competing consumers, partitioned ordering, durable offsets, replay). Artemis is the broadest queue/scheduler; its only gap is the one log feature — replay — that Kafka exists to provide.</w:t>
      </w:r>
    </w:p>
    <w:p>
      <w:pPr>
        <w:pStyle w:val="Heading1"/>
      </w:pPr>
      <w:r>
        <w:rPr>
          <w:b/>
          <w:bCs/>
          <w:color w:val="16314F"/>
          <w:sz w:val="28"/>
          <w:szCs w:val="28"/>
        </w:rPr>
        <w:t xml:space="preserve">6.  Where we are today, and what moving would cost</w:t>
      </w:r>
    </w:p>
    <w:p>
      <w:pPr>
        <w:spacing w:after="140" w:line="276"/>
      </w:pPr>
      <w:r>
        <w:rPr>
          <w:color w:val="1B1F24"/>
          <w:sz w:val="21"/>
          <w:szCs w:val="21"/>
        </w:rPr>
        <w:t xml:space="preserve">Today we pair </w:t>
      </w:r>
      <w:r>
        <w:rPr>
          <w:b/>
          <w:bCs/>
          <w:color w:val="1B1F24"/>
          <w:sz w:val="21"/>
          <w:szCs w:val="21"/>
        </w:rPr>
        <w:t xml:space="preserve">Kafka</w:t>
      </w:r>
      <w:r>
        <w:rPr>
          <w:color w:val="1B1F24"/>
          <w:sz w:val="21"/>
          <w:szCs w:val="21"/>
        </w:rPr>
        <w:t xml:space="preserve"> (the streaming log) with </w:t>
      </w:r>
      <w:r>
        <w:rPr>
          <w:b/>
          <w:bCs/>
          <w:color w:val="1B1F24"/>
          <w:sz w:val="21"/>
          <w:szCs w:val="21"/>
        </w:rPr>
        <w:t xml:space="preserve">Azure Service Bus</w:t>
      </w:r>
      <w:r>
        <w:rPr>
          <w:color w:val="1B1F24"/>
          <w:sz w:val="21"/>
          <w:szCs w:val="21"/>
        </w:rPr>
        <w:t xml:space="preserve"> (a managed broker-native queue). On product capability — reference-only, see appendix — ASB is roughly Artemis-class in breadth: native scheduled messages + cancel, topics/subscriptions with filters, dead-letter, sessions, dedup, per-message TTL. The PoC tells us what a self-hosted replacement for the ASB half would gain or cost.</w:t>
      </w:r>
    </w:p>
    <w:p>
      <w:pPr>
        <w:pStyle w:val="Heading2"/>
      </w:pPr>
      <w:r>
        <w:rPr>
          <w:b/>
          <w:bCs/>
          <w:color w:val="0F6E6E"/>
          <w:sz w:val="23"/>
          <w:szCs w:val="23"/>
        </w:rPr>
        <w:t xml:space="preserve">Moving the ASB-style workloads to Artemis</w:t>
      </w:r>
    </w:p>
    <w:p>
      <w:pPr>
        <w:spacing w:after="140" w:line="276"/>
      </w:pPr>
      <w:r>
        <w:rPr>
          <w:color w:val="1B1F24"/>
          <w:sz w:val="21"/>
          <w:szCs w:val="21"/>
        </w:rPr>
        <w:t xml:space="preserve">Gain: self-hosted broker-native scheduling + cancel + list (S2–S4), native dedup (S13), dead-letter, priority, per-message TTL, and single-active failover — the closest conceptual match to ASB. Cost: you operate a broker yourself, and you do </w:t>
      </w:r>
      <w:r>
        <w:rPr>
          <w:b/>
          <w:bCs/>
          <w:color w:val="1B1F24"/>
          <w:sz w:val="21"/>
          <w:szCs w:val="21"/>
        </w:rPr>
        <w:t xml:space="preserve">not</w:t>
      </w:r>
      <w:r>
        <w:rPr>
          <w:color w:val="1B1F24"/>
          <w:sz w:val="21"/>
          <w:szCs w:val="21"/>
        </w:rPr>
        <w:t xml:space="preserve"> get log replay (S19) — so Kafka stays in the stack for streaming and replay.</w:t>
      </w:r>
    </w:p>
    <w:p>
      <w:pPr>
        <w:pStyle w:val="Heading2"/>
      </w:pPr>
      <w:r>
        <w:rPr>
          <w:b/>
          <w:bCs/>
          <w:color w:val="B5572A"/>
          <w:sz w:val="23"/>
          <w:szCs w:val="23"/>
        </w:rPr>
        <w:t xml:space="preserve">Moving them to RabbitMQ instead</w:t>
      </w:r>
    </w:p>
    <w:p>
      <w:pPr>
        <w:spacing w:after="140" w:line="276"/>
      </w:pPr>
      <w:r>
        <w:rPr>
          <w:color w:val="1B1F24"/>
          <w:sz w:val="21"/>
          <w:szCs w:val="21"/>
        </w:rPr>
        <w:t xml:space="preserve">Gain: most queue features plus stream replay in a single broker (S19). Cost: you lose scheduled-message cancel and list (S3/S4) and broker-native dedup (S13), pushing idempotency into application code; and scheduled delivery depends on the delayed-message plugin, whose repository was archived in April 2026.</w:t>
      </w:r>
    </w:p>
    <w:p>
      <w:pPr>
        <w:pStyle w:val="Heading2"/>
      </w:pPr>
      <w:r>
        <w:rPr>
          <w:b/>
          <w:bCs/>
          <w:color w:val="43479B"/>
          <w:sz w:val="23"/>
          <w:szCs w:val="23"/>
        </w:rPr>
        <w:t xml:space="preserve">Keeping Kafka where it already wins</w:t>
      </w:r>
    </w:p>
    <w:p>
      <w:pPr>
        <w:spacing w:after="140" w:line="276"/>
      </w:pPr>
      <w:r>
        <w:rPr>
          <w:color w:val="1B1F24"/>
          <w:sz w:val="21"/>
          <w:szCs w:val="21"/>
        </w:rPr>
        <w:t xml:space="preserve">High-throughput streaming, partitioned ordering at scale (S12), durable-offset subscriptions (S17), and full-history replay (S19). Nothing here argues for moving those workloads off Kafka.</w:t>
      </w:r>
    </w:p>
    <w:p>
      <w:pPr>
        <w:pStyle w:val="Heading1"/>
      </w:pPr>
      <w:r>
        <w:rPr>
          <w:b/>
          <w:bCs/>
          <w:color w:val="16314F"/>
          <w:sz w:val="28"/>
          <w:szCs w:val="28"/>
        </w:rPr>
        <w:t xml:space="preserve">7.  Two things to keep in mind</w:t>
      </w:r>
    </w:p>
    <w:p>
      <w:pPr>
        <w:pStyle w:val="Heading2"/>
      </w:pPr>
      <w:r>
        <w:rPr>
          <w:b/>
          <w:bCs/>
          <w:color w:val="16314F"/>
          <w:sz w:val="23"/>
          <w:szCs w:val="23"/>
        </w:rPr>
        <w:t xml:space="preserve">Idempotency (S10) now passes on all three</w:t>
      </w:r>
    </w:p>
    <w:p>
      <w:pPr>
        <w:spacing w:after="140" w:line="276"/>
      </w:pPr>
      <w:r>
        <w:rPr>
          <w:color w:val="1B1F24"/>
          <w:sz w:val="21"/>
          <w:szCs w:val="21"/>
        </w:rPr>
        <w:t xml:space="preserve">S10 tests application-level dedup over at-least-once delivery; part (c) </w:t>
      </w:r>
      <w:r>
        <w:rPr>
          <w:b/>
          <w:bCs/>
          <w:color w:val="1B1F24"/>
          <w:sz w:val="21"/>
          <w:szCs w:val="21"/>
        </w:rPr>
        <w:t xml:space="preserve">simulates</w:t>
      </w:r>
      <w:r>
        <w:rPr>
          <w:color w:val="1B1F24"/>
          <w:sz w:val="21"/>
          <w:szCs w:val="21"/>
        </w:rPr>
        <w:t xml:space="preserve"> a store outage (the scenario itself throws “Redis connection refused”) and asserts fail-open. In run 1 a shared bug in the fail-open path failed this identically on all three brokers; that bug is now fixed, so </w:t>
      </w:r>
      <w:r>
        <w:rPr>
          <w:b/>
          <w:bCs/>
          <w:color w:val="1B1F24"/>
          <w:sz w:val="21"/>
          <w:szCs w:val="21"/>
        </w:rPr>
        <w:t xml:space="preserve">S10 passes everywhere</w:t>
      </w:r>
      <w:r>
        <w:rPr>
          <w:color w:val="1B1F24"/>
          <w:sz w:val="21"/>
          <w:szCs w:val="21"/>
        </w:rPr>
        <w:t xml:space="preserve"> — with the store, effects are deduped to once; with the store down, it fails open and still processes once. This is application-level behaviour, independent of the broker.</w:t>
      </w:r>
    </w:p>
    <w:p>
      <w:pPr>
        <w:pStyle w:val="Heading2"/>
      </w:pPr>
      <w:r>
        <w:rPr>
          <w:b/>
          <w:bCs/>
          <w:color w:val="16314F"/>
          <w:sz w:val="23"/>
          <w:szCs w:val="23"/>
        </w:rPr>
        <w:t xml:space="preserve">Kafka consumer-group latency</w:t>
      </w:r>
    </w:p>
    <w:p>
      <w:pPr>
        <w:spacing w:after="140" w:line="276"/>
      </w:pPr>
      <w:r>
        <w:rPr>
          <w:color w:val="1B1F24"/>
          <w:sz w:val="21"/>
          <w:szCs w:val="21"/>
        </w:rPr>
        <w:t xml:space="preserve">Kafka scenarios that subscribe or rebalance cost </w:t>
      </w:r>
      <w:r>
        <w:rPr>
          <w:b/>
          <w:bCs/>
          <w:color w:val="1B1F24"/>
          <w:sz w:val="21"/>
          <w:szCs w:val="21"/>
        </w:rPr>
        <w:t xml:space="preserve">seconds</w:t>
      </w:r>
      <w:r>
        <w:rPr>
          <w:color w:val="1B1F24"/>
          <w:sz w:val="21"/>
          <w:szCs w:val="21"/>
        </w:rPr>
        <w:t xml:space="preserve"> (S7 ~20s; S9, S12, S17, S18, S19 ~5s; S10 ~25s) versus tens of milliseconds for Artemis and RabbitMQ. This is consumer-group join/rebalance overhead, and it is operationally relevant for short-lived consumers, dynamic scaling, and request/reply latency budgets — a real signal, not a pass/fail.</w:t>
      </w:r>
    </w:p>
    <w:p>
      <w:pPr>
        <w:pStyle w:val="Heading1"/>
        <w:pageBreakBefore/>
      </w:pPr>
      <w:r>
        <w:rPr>
          <w:b/>
          <w:bCs/>
          <w:color w:val="16314F"/>
          <w:sz w:val="28"/>
          <w:szCs w:val="28"/>
        </w:rPr>
        <w:t xml:space="preserve">8.  Tested fault tolerance</w:t>
      </w:r>
    </w:p>
    <w:p>
      <w:pPr>
        <w:spacing w:after="140" w:line="276"/>
      </w:pPr>
      <w:r>
        <w:rPr>
          <w:color w:val="1B1F24"/>
          <w:sz w:val="21"/>
          <w:szCs w:val="21"/>
        </w:rPr>
        <w:t xml:space="preserve">Resilience is demonstrated, not claimed. The PoC injects three real failure modes and runs them live against both candidate brokers (scripts/run-faults.sh), narrating the timeline as it happens. </w:t>
      </w:r>
      <w:r>
        <w:rPr>
          <w:b/>
          <w:bCs/>
          <w:color w:val="1B1F24"/>
          <w:sz w:val="21"/>
          <w:szCs w:val="21"/>
        </w:rPr>
        <w:t xml:space="preserve">Result on both: 3 demonstrated, 0 failed.</w:t>
      </w:r>
    </w:p>
    <w:p>
      <w:pPr>
        <w:spacing w:after="90" w:line="276"/>
      </w:pPr>
      <w:r>
        <w:rPr>
          <w:b/>
          <w:bCs/>
          <w:color w:val="0F6E6E"/>
          <w:sz w:val="21"/>
          <w:szCs w:val="21"/>
        </w:rPr>
        <w:t xml:space="preserve">1.  Consumer crash → redelivery.</w:t>
      </w:r>
      <w:r>
        <w:rPr>
          <w:color w:val="1B1F24"/>
          <w:sz w:val="21"/>
          <w:szCs w:val="21"/>
        </w:rPr>
        <w:t xml:space="preserve"> A consumer drops its link with the message un-acked; the broker redelivers to a fresh consumer (~43ms RabbitMQ, ~51ms Artemis). No message is lost on a worker crash.</w:t>
      </w:r>
    </w:p>
    <w:p>
      <w:pPr>
        <w:spacing w:after="90" w:line="276"/>
      </w:pPr>
      <w:r>
        <w:rPr>
          <w:b/>
          <w:bCs/>
          <w:color w:val="0F6E6E"/>
          <w:sz w:val="21"/>
          <w:szCs w:val="21"/>
        </w:rPr>
        <w:t xml:space="preserve">2.  Transient blip + sustained outage → retry + circuit breaker.</w:t>
      </w:r>
      <w:r>
        <w:rPr>
          <w:color w:val="1B1F24"/>
          <w:sz w:val="21"/>
          <w:szCs w:val="21"/>
        </w:rPr>
        <w:t xml:space="preserve"> Transient faults are absorbed by retry-with-backoff (publish succeeds despite the blip). Under a sustained outage the breaker OPENS to fail fast and protect the broker, transitions HALF-OPEN to probe, then CLOSES on recovery — after which a message is delivered end-to-end. The full breaker lifecycle is exercised, not just the happy retry path.</w:t>
      </w:r>
    </w:p>
    <w:p>
      <w:pPr>
        <w:spacing w:after="140" w:line="276"/>
      </w:pPr>
      <w:r>
        <w:rPr>
          <w:b/>
          <w:bCs/>
          <w:color w:val="0F6E6E"/>
          <w:sz w:val="21"/>
          <w:szCs w:val="21"/>
        </w:rPr>
        <w:t xml:space="preserve">3.  Poison message → dead-letter.</w:t>
      </w:r>
      <w:r>
        <w:rPr>
          <w:color w:val="1B1F24"/>
          <w:sz w:val="21"/>
          <w:szCs w:val="21"/>
        </w:rPr>
        <w:t xml:space="preserve"> A handler that always fails is retried, then dead-lettered to a dedicated DLQ, so the poison message never blocks the main queue. Artemis dead-letters after 3 attempts; RabbitMQ after 4 — quorum-queue semantics dead-letter when the count </w:t>
      </w:r>
      <w:r>
        <w:rPr>
          <w:b/>
          <w:bCs/>
          <w:color w:val="1B1F24"/>
          <w:sz w:val="21"/>
          <w:szCs w:val="21"/>
        </w:rPr>
        <w:t xml:space="preserve">exceeds</w:t>
      </w:r>
      <w:r>
        <w:rPr>
          <w:color w:val="1B1F24"/>
          <w:sz w:val="21"/>
          <w:szCs w:val="21"/>
        </w:rPr>
        <w:t xml:space="preserve"> the limit. A real behavioural difference, surfaced rather than hidden.</w:t>
      </w:r>
    </w:p>
    <w:p>
      <w:pPr>
        <w:pStyle w:val="Heading2"/>
      </w:pPr>
      <w:r>
        <w:rPr>
          <w:b/>
          <w:bCs/>
          <w:color w:val="16314F"/>
          <w:sz w:val="23"/>
          <w:szCs w:val="23"/>
        </w:rPr>
        <w:t xml:space="preserve">Why it matters</w:t>
      </w:r>
    </w:p>
    <w:p>
      <w:pPr>
        <w:spacing w:after="140" w:line="276"/>
      </w:pPr>
      <w:r>
        <w:rPr>
          <w:color w:val="1B1F24"/>
          <w:sz w:val="21"/>
          <w:szCs w:val="21"/>
        </w:rPr>
        <w:t xml:space="preserve">The resilience layer is a single decorator (.NET Polly v8 · TS cockatiel) applied identically to every broker, and it correctly treats an honestly-unsupported operation as a contract outcome — never retried, never tripping the breaker. The behaviour is the same shape we would run in production, and it is the same across both brokers, so the broker choice does not change the fault-tolerance story.</w:t>
      </w:r>
    </w:p>
    <w:p>
      <w:pPr>
        <w:spacing w:after="60" w:before="40"/>
      </w:pPr>
      <w:r>
        <w:rPr>
          <w:b/>
          <w:bCs/>
          <w:color w:val="0F6E6E"/>
          <w:sz w:val="22"/>
          <w:szCs w:val="22"/>
        </w:rPr>
        <w:t xml:space="preserve">3 demonstrated, 0 failed.</w:t>
      </w:r>
    </w:p>
    <w:p>
      <w:pPr>
        <w:pStyle w:val="Heading1"/>
      </w:pPr>
      <w:r>
        <w:rPr>
          <w:b/>
          <w:bCs/>
          <w:color w:val="16314F"/>
          <w:sz w:val="28"/>
          <w:szCs w:val="28"/>
        </w:rPr>
        <w:t xml:space="preserve">9.  Recommendation</w:t>
      </w:r>
    </w:p>
    <w:p>
      <w:pPr>
        <w:spacing w:after="140" w:line="276"/>
      </w:pPr>
      <w:r>
        <w:rPr>
          <w:color w:val="1B1F24"/>
          <w:sz w:val="21"/>
          <w:szCs w:val="21"/>
        </w:rPr>
        <w:t xml:space="preserve">Pick the tool by workload shape:</w:t>
      </w:r>
    </w:p>
    <w:p>
      <w:pPr>
        <w:pStyle w:val="ListParagraph"/>
        <w:numPr>
          <w:ilvl w:val="0"/>
          <w:numId w:val="2"/>
        </w:numPr>
        <w:spacing w:after="70" w:line="272"/>
      </w:pPr>
      <w:r>
        <w:rPr>
          <w:b/>
          <w:bCs/>
          <w:color w:val="43479B"/>
          <w:sz w:val="21"/>
          <w:szCs w:val="21"/>
        </w:rPr>
        <w:t xml:space="preserve">Kafka</w:t>
      </w:r>
      <w:r>
        <w:rPr>
          <w:color w:val="1B1F24"/>
          <w:sz w:val="21"/>
          <w:szCs w:val="21"/>
        </w:rPr>
        <w:t xml:space="preserve"> — high-throughput streaming, partitioned ordering at scale, durable-offset subscriptions, full-history replay. It already does this well; keep it.</w:t>
      </w:r>
    </w:p>
    <w:p>
      <w:pPr>
        <w:pStyle w:val="ListParagraph"/>
        <w:numPr>
          <w:ilvl w:val="0"/>
          <w:numId w:val="2"/>
        </w:numPr>
        <w:spacing w:after="70" w:line="272"/>
      </w:pPr>
      <w:r>
        <w:rPr>
          <w:b/>
          <w:bCs/>
          <w:color w:val="0F6E6E"/>
          <w:sz w:val="21"/>
          <w:szCs w:val="21"/>
        </w:rPr>
        <w:t xml:space="preserve">Artemis</w:t>
      </w:r>
      <w:r>
        <w:rPr>
          <w:color w:val="1B1F24"/>
          <w:sz w:val="21"/>
          <w:szCs w:val="21"/>
        </w:rPr>
        <w:t xml:space="preserve"> — the broker-native queue workloads: scheduled and cancellable work, dead-letter, priority, per-message TTL, native dedup, single-active failover. Broadest fit at 18/19.</w:t>
      </w:r>
    </w:p>
    <w:p>
      <w:pPr>
        <w:pStyle w:val="ListParagraph"/>
        <w:numPr>
          <w:ilvl w:val="0"/>
          <w:numId w:val="2"/>
        </w:numPr>
        <w:spacing w:after="70" w:line="272"/>
      </w:pPr>
      <w:r>
        <w:rPr>
          <w:b/>
          <w:bCs/>
          <w:color w:val="B5572A"/>
          <w:sz w:val="21"/>
          <w:szCs w:val="21"/>
        </w:rPr>
        <w:t xml:space="preserve">RabbitMQ</w:t>
      </w:r>
      <w:r>
        <w:rPr>
          <w:color w:val="1B1F24"/>
          <w:sz w:val="21"/>
          <w:szCs w:val="21"/>
        </w:rPr>
        <w:t xml:space="preserve"> — only if you also need stream replay in the same broker and can accept no scheduled cancel/list and app-level idempotency; note the scheduling plugin is archived.</w:t>
      </w:r>
    </w:p>
    <w:p>
      <w:pPr>
        <w:pStyle w:val="ListParagraph"/>
        <w:numPr>
          <w:ilvl w:val="0"/>
          <w:numId w:val="2"/>
        </w:numPr>
        <w:spacing w:after="150" w:line="272"/>
      </w:pPr>
      <w:r>
        <w:rPr>
          <w:b/>
          <w:bCs/>
          <w:color w:val="1B1F24"/>
          <w:sz w:val="21"/>
          <w:szCs w:val="21"/>
        </w:rPr>
        <w:t xml:space="preserve">Azure Service Bus replacement specifically</w:t>
      </w:r>
      <w:r>
        <w:rPr>
          <w:color w:val="1B1F24"/>
          <w:sz w:val="21"/>
          <w:szCs w:val="21"/>
        </w:rPr>
        <w:t xml:space="preserve"> — Artemis, the only broker that passed S2–S4 and S13.</w:t>
      </w:r>
    </w:p>
    <w:p>
      <w:pPr>
        <w:spacing w:after="140" w:line="276"/>
      </w:pPr>
      <w:r>
        <w:rPr>
          <w:color w:val="1B1F24"/>
          <w:sz w:val="21"/>
          <w:szCs w:val="21"/>
        </w:rPr>
        <w:t xml:space="preserve">One honesty reminder carries into any external write-up: Kafka’s consumer-group rebalance latency is the cost of its model, to be budgeted for rather than scored against. (The run-1 idempotency issue is resolved — S10 now passes on all three.)</w:t>
      </w:r>
    </w:p>
    <w:p>
      <w:pPr>
        <w:pStyle w:val="Heading1"/>
        <w:pageBreakBefore/>
      </w:pPr>
      <w:r>
        <w:rPr>
          <w:b/>
          <w:bCs/>
          <w:color w:val="16314F"/>
          <w:sz w:val="28"/>
          <w:szCs w:val="28"/>
        </w:rPr>
        <w:t xml:space="preserve">10.  Why the adapters are hand-rolled (not Wolverine or MassTransit)</w:t>
      </w:r>
    </w:p>
    <w:p>
      <w:pPr>
        <w:spacing w:after="140" w:line="276"/>
      </w:pPr>
      <w:r>
        <w:rPr>
          <w:color w:val="1B1F24"/>
          <w:sz w:val="21"/>
          <w:szCs w:val="21"/>
        </w:rPr>
        <w:t xml:space="preserve">The brief asked for a state-of-the-art .NET messaging experience, so we evaluated the two leading frameworks — </w:t>
      </w:r>
      <w:r>
        <w:rPr>
          <w:b/>
          <w:bCs/>
          <w:color w:val="1B1F24"/>
          <w:sz w:val="21"/>
          <w:szCs w:val="21"/>
        </w:rPr>
        <w:t xml:space="preserve">Wolverine</w:t>
      </w:r>
      <w:r>
        <w:rPr>
          <w:color w:val="1B1F24"/>
          <w:sz w:val="21"/>
          <w:szCs w:val="21"/>
        </w:rPr>
        <w:t xml:space="preserve"> and </w:t>
      </w:r>
      <w:r>
        <w:rPr>
          <w:b/>
          <w:bCs/>
          <w:color w:val="1B1F24"/>
          <w:sz w:val="21"/>
          <w:szCs w:val="21"/>
        </w:rPr>
        <w:t xml:space="preserve">MassTransit</w:t>
      </w:r>
      <w:r>
        <w:rPr>
          <w:color w:val="1B1F24"/>
          <w:sz w:val="21"/>
          <w:szCs w:val="21"/>
        </w:rPr>
        <w:t xml:space="preserve"> — as the foundation, and rejected both for the specific requirement that drives this project: replacing Azure Service Bus scheduled messaging with Artemis as the preferred 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120"/>
        <w:gridCol w:w="2400"/>
        <w:gridCol w:w="1500"/>
        <w:gridCol w:w="1190"/>
      </w:tblGrid>
      <w:tr>
        <w:trPr>
          <w:tblHeader/>
        </w:trPr>
        <w:tc>
          <w:tcPr>
            <w:tcW w:type="dxa" w:w="2150"/>
            <w:tcBorders>
              <w:top w:val="single" w:color="D4DAE0" w:sz="1"/>
              <w:left w:val="single" w:color="D4DAE0" w:sz="1"/>
              <w:bottom w:val="single" w:color="D4DAE0" w:sz="1"/>
              <w:right w:val="single" w:color="D4DAE0" w:sz="1"/>
            </w:tcBorders>
            <w:shd w:fill="16314F" w:color="auto" w:val="clear"/>
            <w:tcMar>
              <w:top w:type="dxa" w:w="50"/>
              <w:left w:type="dxa" w:w="90"/>
              <w:bottom w:type="dxa" w:w="50"/>
              <w:right w:type="dxa" w:w="90"/>
            </w:tcMar>
            <w:vAlign w:val="center"/>
          </w:tcPr>
          <w:p>
            <w:pPr>
              <w:spacing w:after="0" w:line="248"/>
            </w:pPr>
            <w:r>
              <w:rPr>
                <w:b/>
                <w:bCs/>
                <w:color w:val="FFFFFF"/>
                <w:sz w:val="16"/>
                <w:szCs w:val="16"/>
              </w:rPr>
              <w:t xml:space="preserve">Framework</w:t>
            </w:r>
          </w:p>
        </w:tc>
        <w:tc>
          <w:tcPr>
            <w:tcW w:type="dxa" w:w="2120"/>
            <w:tcBorders>
              <w:top w:val="single" w:color="D4DAE0" w:sz="1"/>
              <w:left w:val="single" w:color="D4DAE0" w:sz="1"/>
              <w:bottom w:val="single" w:color="D4DAE0" w:sz="1"/>
              <w:right w:val="single" w:color="D4DAE0" w:sz="1"/>
            </w:tcBorders>
            <w:shd w:fill="16314F" w:color="auto" w:val="clear"/>
            <w:tcMar>
              <w:top w:type="dxa" w:w="50"/>
              <w:left w:type="dxa" w:w="90"/>
              <w:bottom w:type="dxa" w:w="50"/>
              <w:right w:type="dxa" w:w="90"/>
            </w:tcMar>
            <w:vAlign w:val="center"/>
          </w:tcPr>
          <w:p>
            <w:pPr>
              <w:spacing w:after="0" w:line="248"/>
              <w:jc w:val="center"/>
            </w:pPr>
            <w:r>
              <w:rPr>
                <w:b/>
                <w:bCs/>
                <w:color w:val="FFFFFF"/>
                <w:sz w:val="15"/>
                <w:szCs w:val="15"/>
              </w:rPr>
              <w:t xml:space="preserve">Targets Artemis?</w:t>
            </w:r>
          </w:p>
        </w:tc>
        <w:tc>
          <w:tcPr>
            <w:tcW w:type="dxa" w:w="2400"/>
            <w:tcBorders>
              <w:top w:val="single" w:color="D4DAE0" w:sz="1"/>
              <w:left w:val="single" w:color="D4DAE0" w:sz="1"/>
              <w:bottom w:val="single" w:color="D4DAE0" w:sz="1"/>
              <w:right w:val="single" w:color="D4DAE0" w:sz="1"/>
            </w:tcBorders>
            <w:shd w:fill="16314F" w:color="auto" w:val="clear"/>
            <w:tcMar>
              <w:top w:type="dxa" w:w="50"/>
              <w:left w:type="dxa" w:w="90"/>
              <w:bottom w:type="dxa" w:w="50"/>
              <w:right w:type="dxa" w:w="90"/>
            </w:tcMar>
            <w:vAlign w:val="center"/>
          </w:tcPr>
          <w:p>
            <w:pPr>
              <w:spacing w:after="0" w:line="248"/>
              <w:jc w:val="center"/>
            </w:pPr>
            <w:r>
              <w:rPr>
                <w:b/>
                <w:bCs/>
                <w:color w:val="FFFFFF"/>
                <w:sz w:val="15"/>
                <w:szCs w:val="15"/>
              </w:rPr>
              <w:t xml:space="preserve">Native scheduling on Artemis?</w:t>
            </w:r>
          </w:p>
        </w:tc>
        <w:tc>
          <w:tcPr>
            <w:tcW w:type="dxa" w:w="1500"/>
            <w:tcBorders>
              <w:top w:val="single" w:color="D4DAE0" w:sz="1"/>
              <w:left w:val="single" w:color="D4DAE0" w:sz="1"/>
              <w:bottom w:val="single" w:color="D4DAE0" w:sz="1"/>
              <w:right w:val="single" w:color="D4DAE0" w:sz="1"/>
            </w:tcBorders>
            <w:shd w:fill="16314F" w:color="auto" w:val="clear"/>
            <w:tcMar>
              <w:top w:type="dxa" w:w="50"/>
              <w:left w:type="dxa" w:w="90"/>
              <w:bottom w:type="dxa" w:w="50"/>
              <w:right w:type="dxa" w:w="90"/>
            </w:tcMar>
            <w:vAlign w:val="center"/>
          </w:tcPr>
          <w:p>
            <w:pPr>
              <w:spacing w:after="0" w:line="248"/>
              <w:jc w:val="center"/>
            </w:pPr>
            <w:r>
              <w:rPr>
                <w:b/>
                <w:bCs/>
                <w:color w:val="FFFFFF"/>
                <w:sz w:val="15"/>
                <w:szCs w:val="15"/>
              </w:rPr>
              <w:t xml:space="preserve">License (mid-2026)</w:t>
            </w:r>
          </w:p>
        </w:tc>
        <w:tc>
          <w:tcPr>
            <w:tcW w:type="dxa" w:w="1190"/>
            <w:tcBorders>
              <w:top w:val="single" w:color="D4DAE0" w:sz="1"/>
              <w:left w:val="single" w:color="D4DAE0" w:sz="1"/>
              <w:bottom w:val="single" w:color="D4DAE0" w:sz="1"/>
              <w:right w:val="single" w:color="D4DAE0" w:sz="1"/>
            </w:tcBorders>
            <w:shd w:fill="16314F" w:color="auto" w:val="clear"/>
            <w:tcMar>
              <w:top w:type="dxa" w:w="50"/>
              <w:left w:type="dxa" w:w="90"/>
              <w:bottom w:type="dxa" w:w="50"/>
              <w:right w:type="dxa" w:w="90"/>
            </w:tcMar>
            <w:vAlign w:val="center"/>
          </w:tcPr>
          <w:p>
            <w:pPr>
              <w:spacing w:after="0" w:line="248"/>
              <w:jc w:val="center"/>
            </w:pPr>
            <w:r>
              <w:rPr>
                <w:b/>
                <w:bCs/>
                <w:color w:val="FFFFFF"/>
                <w:sz w:val="15"/>
                <w:szCs w:val="15"/>
              </w:rPr>
              <w:t xml:space="preserve">Verdict</w:t>
            </w:r>
          </w:p>
        </w:tc>
      </w:tr>
      <w:tr>
        <w:tc>
          <w:tcPr>
            <w:tcW w:type="dxa" w:w="2150"/>
            <w:tcBorders>
              <w:top w:val="single" w:color="D4DAE0" w:sz="1"/>
              <w:left w:val="single" w:color="D4DAE0" w:sz="1"/>
              <w:bottom w:val="single" w:color="D4DAE0" w:sz="1"/>
              <w:right w:val="single" w:color="D4DAE0" w:sz="1"/>
            </w:tcBorders>
            <w:tcMar>
              <w:top w:type="dxa" w:w="50"/>
              <w:left w:type="dxa" w:w="90"/>
              <w:bottom w:type="dxa" w:w="50"/>
              <w:right w:type="dxa" w:w="90"/>
            </w:tcMar>
            <w:vAlign w:val="center"/>
          </w:tcPr>
          <w:p>
            <w:pPr>
              <w:spacing w:after="0" w:line="248"/>
            </w:pPr>
            <w:r>
              <w:rPr>
                <w:b/>
                <w:bCs/>
                <w:color w:val="16314F"/>
                <w:sz w:val="16"/>
                <w:szCs w:val="16"/>
              </w:rPr>
              <w:t xml:space="preserve">Wolverine</w:t>
            </w:r>
          </w:p>
        </w:tc>
        <w:tc>
          <w:tcPr>
            <w:tcW w:type="dxa" w:w="2120"/>
            <w:tcBorders>
              <w:top w:val="single" w:color="D4DAE0" w:sz="1"/>
              <w:left w:val="single" w:color="D4DAE0" w:sz="1"/>
              <w:bottom w:val="single" w:color="D4DAE0" w:sz="1"/>
              <w:right w:val="single" w:color="D4DAE0" w:sz="1"/>
            </w:tcBorders>
            <w:shd w:fill="F7E2DE" w:color="auto" w:val="clear"/>
            <w:tcMar>
              <w:top w:type="dxa" w:w="50"/>
              <w:left w:type="dxa" w:w="90"/>
              <w:bottom w:type="dxa" w:w="50"/>
              <w:right w:type="dxa" w:w="90"/>
            </w:tcMar>
            <w:vAlign w:val="center"/>
          </w:tcPr>
          <w:p>
            <w:pPr>
              <w:spacing w:after="0" w:line="248"/>
              <w:jc w:val="center"/>
            </w:pPr>
            <w:r>
              <w:rPr>
                <w:color w:val="B0392B"/>
                <w:sz w:val="14"/>
                <w:szCs w:val="14"/>
              </w:rPr>
              <w:t xml:space="preserve">✗ no Artemis / AMQP-1.0 transport</w:t>
            </w:r>
          </w:p>
        </w:tc>
        <w:tc>
          <w:tcPr>
            <w:tcW w:type="dxa" w:w="2400"/>
            <w:tcBorders>
              <w:top w:val="single" w:color="D4DAE0" w:sz="1"/>
              <w:left w:val="single" w:color="D4DAE0" w:sz="1"/>
              <w:bottom w:val="single" w:color="D4DAE0" w:sz="1"/>
              <w:right w:val="single" w:color="D4DAE0" w:sz="1"/>
            </w:tcBorders>
            <w:shd w:fill="F4F6F8" w:color="auto" w:val="clear"/>
            <w:tcMar>
              <w:top w:type="dxa" w:w="50"/>
              <w:left w:type="dxa" w:w="90"/>
              <w:bottom w:type="dxa" w:w="50"/>
              <w:right w:type="dxa" w:w="90"/>
            </w:tcMar>
            <w:vAlign w:val="center"/>
          </w:tcPr>
          <w:p>
            <w:pPr>
              <w:spacing w:after="0" w:line="248"/>
              <w:jc w:val="center"/>
            </w:pPr>
            <w:r>
              <w:rPr>
                <w:color w:val="5B6670"/>
                <w:sz w:val="14"/>
                <w:szCs w:val="14"/>
              </w:rPr>
              <w:t xml:space="preserve">— can’t reach Artemis at all</w:t>
            </w:r>
          </w:p>
        </w:tc>
        <w:tc>
          <w:tcPr>
            <w:tcW w:type="dxa" w:w="1500"/>
            <w:tcBorders>
              <w:top w:val="single" w:color="D4DAE0" w:sz="1"/>
              <w:left w:val="single" w:color="D4DAE0" w:sz="1"/>
              <w:bottom w:val="single" w:color="D4DAE0" w:sz="1"/>
              <w:right w:val="single" w:color="D4DAE0" w:sz="1"/>
            </w:tcBorders>
            <w:tcMar>
              <w:top w:type="dxa" w:w="50"/>
              <w:left w:type="dxa" w:w="90"/>
              <w:bottom w:type="dxa" w:w="50"/>
              <w:right w:type="dxa" w:w="90"/>
            </w:tcMar>
            <w:vAlign w:val="center"/>
          </w:tcPr>
          <w:p>
            <w:pPr>
              <w:spacing w:after="0" w:line="248"/>
              <w:jc w:val="center"/>
            </w:pPr>
            <w:r>
              <w:rPr>
                <w:color w:val="1B1F24"/>
                <w:sz w:val="14"/>
                <w:szCs w:val="14"/>
              </w:rPr>
              <w:t xml:space="preserve">OSS</w:t>
            </w:r>
          </w:p>
        </w:tc>
        <w:tc>
          <w:tcPr>
            <w:tcW w:type="dxa" w:w="1190"/>
            <w:tcBorders>
              <w:top w:val="single" w:color="D4DAE0" w:sz="1"/>
              <w:left w:val="single" w:color="D4DAE0" w:sz="1"/>
              <w:bottom w:val="single" w:color="D4DAE0" w:sz="1"/>
              <w:right w:val="single" w:color="D4DAE0" w:sz="1"/>
            </w:tcBorders>
            <w:shd w:fill="F7E2DE" w:color="auto" w:val="clear"/>
            <w:tcMar>
              <w:top w:type="dxa" w:w="50"/>
              <w:left w:type="dxa" w:w="90"/>
              <w:bottom w:type="dxa" w:w="50"/>
              <w:right w:type="dxa" w:w="90"/>
            </w:tcMar>
            <w:vAlign w:val="center"/>
          </w:tcPr>
          <w:p>
            <w:pPr>
              <w:spacing w:after="0" w:line="248"/>
              <w:jc w:val="center"/>
            </w:pPr>
            <w:r>
              <w:rPr>
                <w:b/>
                <w:bCs/>
                <w:color w:val="B0392B"/>
                <w:sz w:val="14"/>
                <w:szCs w:val="14"/>
              </w:rPr>
              <w:t xml:space="preserve">REJECTED</w:t>
            </w:r>
          </w:p>
        </w:tc>
      </w:tr>
      <w:tr>
        <w:tc>
          <w:tcPr>
            <w:tcW w:type="dxa" w:w="2150"/>
            <w:tcBorders>
              <w:top w:val="single" w:color="D4DAE0" w:sz="1"/>
              <w:left w:val="single" w:color="D4DAE0" w:sz="1"/>
              <w:bottom w:val="single" w:color="D4DAE0" w:sz="1"/>
              <w:right w:val="single" w:color="D4DAE0" w:sz="1"/>
            </w:tcBorders>
            <w:tcMar>
              <w:top w:type="dxa" w:w="50"/>
              <w:left w:type="dxa" w:w="90"/>
              <w:bottom w:type="dxa" w:w="50"/>
              <w:right w:type="dxa" w:w="90"/>
            </w:tcMar>
            <w:vAlign w:val="center"/>
          </w:tcPr>
          <w:p>
            <w:pPr>
              <w:spacing w:after="0" w:line="248"/>
            </w:pPr>
            <w:r>
              <w:rPr>
                <w:b/>
                <w:bCs/>
                <w:color w:val="16314F"/>
                <w:sz w:val="16"/>
                <w:szCs w:val="16"/>
              </w:rPr>
              <w:t xml:space="preserve">MassTransit</w:t>
            </w:r>
          </w:p>
        </w:tc>
        <w:tc>
          <w:tcPr>
            <w:tcW w:type="dxa" w:w="2120"/>
            <w:tcBorders>
              <w:top w:val="single" w:color="D4DAE0" w:sz="1"/>
              <w:left w:val="single" w:color="D4DAE0" w:sz="1"/>
              <w:bottom w:val="single" w:color="D4DAE0" w:sz="1"/>
              <w:right w:val="single" w:color="D4DAE0" w:sz="1"/>
            </w:tcBorders>
            <w:shd w:fill="FBF1D8" w:color="auto" w:val="clear"/>
            <w:tcMar>
              <w:top w:type="dxa" w:w="50"/>
              <w:left w:type="dxa" w:w="90"/>
              <w:bottom w:type="dxa" w:w="50"/>
              <w:right w:type="dxa" w:w="90"/>
            </w:tcMar>
            <w:vAlign w:val="center"/>
          </w:tcPr>
          <w:p>
            <w:pPr>
              <w:spacing w:after="0" w:line="248"/>
              <w:jc w:val="center"/>
            </w:pPr>
            <w:r>
              <w:rPr>
                <w:color w:val="8A6A1E"/>
                <w:sz w:val="14"/>
                <w:szCs w:val="14"/>
              </w:rPr>
              <w:t xml:space="preserve">⚠ ActiveMQ transport (Artemis-compat)</w:t>
            </w:r>
          </w:p>
        </w:tc>
        <w:tc>
          <w:tcPr>
            <w:tcW w:type="dxa" w:w="2400"/>
            <w:tcBorders>
              <w:top w:val="single" w:color="D4DAE0" w:sz="1"/>
              <w:left w:val="single" w:color="D4DAE0" w:sz="1"/>
              <w:bottom w:val="single" w:color="D4DAE0" w:sz="1"/>
              <w:right w:val="single" w:color="D4DAE0" w:sz="1"/>
            </w:tcBorders>
            <w:shd w:fill="F7E2DE" w:color="auto" w:val="clear"/>
            <w:tcMar>
              <w:top w:type="dxa" w:w="50"/>
              <w:left w:type="dxa" w:w="90"/>
              <w:bottom w:type="dxa" w:w="50"/>
              <w:right w:type="dxa" w:w="90"/>
            </w:tcMar>
            <w:vAlign w:val="center"/>
          </w:tcPr>
          <w:p>
            <w:pPr>
              <w:spacing w:after="0" w:line="248"/>
              <w:jc w:val="center"/>
            </w:pPr>
            <w:r>
              <w:rPr>
                <w:color w:val="B0392B"/>
                <w:sz w:val="13"/>
                <w:szCs w:val="13"/>
              </w:rPr>
              <w:t xml:space="preserve">✗ sets an ActiveMQ-Classic header Artemis ignores → fires immediately</w:t>
            </w:r>
          </w:p>
        </w:tc>
        <w:tc>
          <w:tcPr>
            <w:tcW w:type="dxa" w:w="1500"/>
            <w:tcBorders>
              <w:top w:val="single" w:color="D4DAE0" w:sz="1"/>
              <w:left w:val="single" w:color="D4DAE0" w:sz="1"/>
              <w:bottom w:val="single" w:color="D4DAE0" w:sz="1"/>
              <w:right w:val="single" w:color="D4DAE0" w:sz="1"/>
            </w:tcBorders>
            <w:tcMar>
              <w:top w:type="dxa" w:w="50"/>
              <w:left w:type="dxa" w:w="90"/>
              <w:bottom w:type="dxa" w:w="50"/>
              <w:right w:type="dxa" w:w="90"/>
            </w:tcMar>
            <w:vAlign w:val="center"/>
          </w:tcPr>
          <w:p>
            <w:pPr>
              <w:spacing w:after="0" w:line="248"/>
              <w:jc w:val="center"/>
            </w:pPr>
            <w:r>
              <w:rPr>
                <w:color w:val="1B1F24"/>
                <w:sz w:val="13"/>
                <w:szCs w:val="13"/>
              </w:rPr>
              <w:t xml:space="preserve">v8 OSS (EOL 2026) · v9 commercial, no ActiveMQ</w:t>
            </w:r>
          </w:p>
        </w:tc>
        <w:tc>
          <w:tcPr>
            <w:tcW w:type="dxa" w:w="1190"/>
            <w:tcBorders>
              <w:top w:val="single" w:color="D4DAE0" w:sz="1"/>
              <w:left w:val="single" w:color="D4DAE0" w:sz="1"/>
              <w:bottom w:val="single" w:color="D4DAE0" w:sz="1"/>
              <w:right w:val="single" w:color="D4DAE0" w:sz="1"/>
            </w:tcBorders>
            <w:shd w:fill="F7E2DE" w:color="auto" w:val="clear"/>
            <w:tcMar>
              <w:top w:type="dxa" w:w="50"/>
              <w:left w:type="dxa" w:w="90"/>
              <w:bottom w:type="dxa" w:w="50"/>
              <w:right w:type="dxa" w:w="90"/>
            </w:tcMar>
            <w:vAlign w:val="center"/>
          </w:tcPr>
          <w:p>
            <w:pPr>
              <w:spacing w:after="0" w:line="248"/>
              <w:jc w:val="center"/>
            </w:pPr>
            <w:r>
              <w:rPr>
                <w:b/>
                <w:bCs/>
                <w:color w:val="B0392B"/>
                <w:sz w:val="14"/>
                <w:szCs w:val="14"/>
              </w:rPr>
              <w:t xml:space="preserve">REJECTED</w:t>
            </w:r>
          </w:p>
        </w:tc>
      </w:tr>
      <w:tr>
        <w:tc>
          <w:tcPr>
            <w:tcW w:type="dxa" w:w="2150"/>
            <w:tcBorders>
              <w:top w:val="single" w:color="D4DAE0" w:sz="1"/>
              <w:left w:val="single" w:color="D4DAE0" w:sz="1"/>
              <w:bottom w:val="single" w:color="D4DAE0" w:sz="1"/>
              <w:right w:val="single" w:color="D4DAE0" w:sz="1"/>
            </w:tcBorders>
            <w:tcMar>
              <w:top w:type="dxa" w:w="50"/>
              <w:left w:type="dxa" w:w="90"/>
              <w:bottom w:type="dxa" w:w="50"/>
              <w:right w:type="dxa" w:w="90"/>
            </w:tcMar>
            <w:vAlign w:val="center"/>
          </w:tcPr>
          <w:p>
            <w:pPr>
              <w:spacing w:after="0" w:line="248"/>
            </w:pPr>
            <w:r>
              <w:rPr>
                <w:b/>
                <w:bCs/>
                <w:color w:val="0F6E6E"/>
                <w:sz w:val="15"/>
                <w:szCs w:val="15"/>
              </w:rPr>
              <w:t xml:space="preserve">Hand-rolled IMessageScheduler</w:t>
            </w:r>
          </w:p>
        </w:tc>
        <w:tc>
          <w:tcPr>
            <w:tcW w:type="dxa" w:w="2120"/>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line="248"/>
              <w:jc w:val="center"/>
            </w:pPr>
            <w:r>
              <w:rPr>
                <w:color w:val="146A47"/>
                <w:sz w:val="14"/>
                <w:szCs w:val="14"/>
              </w:rPr>
              <w:t xml:space="preserve">✓ AMQP 1.0 (rhea / AMQPNetLite)</w:t>
            </w:r>
          </w:p>
        </w:tc>
        <w:tc>
          <w:tcPr>
            <w:tcW w:type="dxa" w:w="2400"/>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line="248"/>
              <w:jc w:val="center"/>
            </w:pPr>
            <w:r>
              <w:rPr>
                <w:color w:val="146A47"/>
                <w:sz w:val="14"/>
                <w:szCs w:val="14"/>
              </w:rPr>
              <w:t xml:space="preserve">✓ x-opt-delivery-time — verified live (S2–S4)</w:t>
            </w:r>
          </w:p>
        </w:tc>
        <w:tc>
          <w:tcPr>
            <w:tcW w:type="dxa" w:w="1500"/>
            <w:tcBorders>
              <w:top w:val="single" w:color="D4DAE0" w:sz="1"/>
              <w:left w:val="single" w:color="D4DAE0" w:sz="1"/>
              <w:bottom w:val="single" w:color="D4DAE0" w:sz="1"/>
              <w:right w:val="single" w:color="D4DAE0" w:sz="1"/>
            </w:tcBorders>
            <w:tcMar>
              <w:top w:type="dxa" w:w="50"/>
              <w:left w:type="dxa" w:w="90"/>
              <w:bottom w:type="dxa" w:w="50"/>
              <w:right w:type="dxa" w:w="90"/>
            </w:tcMar>
            <w:vAlign w:val="center"/>
          </w:tcPr>
          <w:p>
            <w:pPr>
              <w:spacing w:after="0" w:line="248"/>
              <w:jc w:val="center"/>
            </w:pPr>
            <w:r>
              <w:rPr>
                <w:color w:val="1B1F24"/>
                <w:sz w:val="14"/>
                <w:szCs w:val="14"/>
              </w:rPr>
              <w:t xml:space="preserve">OSS, no dependency</w:t>
            </w:r>
          </w:p>
        </w:tc>
        <w:tc>
          <w:tcPr>
            <w:tcW w:type="dxa" w:w="1190"/>
            <w:tcBorders>
              <w:top w:val="single" w:color="D4DAE0" w:sz="1"/>
              <w:left w:val="single" w:color="D4DAE0" w:sz="1"/>
              <w:bottom w:val="single" w:color="D4DAE0" w:sz="1"/>
              <w:right w:val="single" w:color="D4DAE0" w:sz="1"/>
            </w:tcBorders>
            <w:shd w:fill="E6F4EC" w:color="auto" w:val="clear"/>
            <w:tcMar>
              <w:top w:type="dxa" w:w="50"/>
              <w:left w:type="dxa" w:w="90"/>
              <w:bottom w:type="dxa" w:w="50"/>
              <w:right w:type="dxa" w:w="90"/>
            </w:tcMar>
            <w:vAlign w:val="center"/>
          </w:tcPr>
          <w:p>
            <w:pPr>
              <w:spacing w:after="0" w:line="248"/>
              <w:jc w:val="center"/>
            </w:pPr>
            <w:r>
              <w:rPr>
                <w:b/>
                <w:bCs/>
                <w:color w:val="146A47"/>
                <w:sz w:val="14"/>
                <w:szCs w:val="14"/>
              </w:rPr>
              <w:t xml:space="preserve">CHOSEN</w:t>
            </w:r>
          </w:p>
        </w:tc>
      </w:tr>
    </w:tbl>
    <w:p>
      <w:pPr>
        <w:spacing w:after="120"/>
      </w:pPr>
    </w:p>
    <w:p>
      <w:pPr>
        <w:pStyle w:val="Heading2"/>
      </w:pPr>
      <w:r>
        <w:rPr>
          <w:b/>
          <w:bCs/>
          <w:color w:val="0F6E6E"/>
          <w:sz w:val="23"/>
          <w:szCs w:val="23"/>
        </w:rPr>
        <w:t xml:space="preserve">Wolverine</w:t>
      </w:r>
    </w:p>
    <w:p>
      <w:pPr>
        <w:spacing w:after="140" w:line="276"/>
      </w:pPr>
      <w:r>
        <w:rPr>
          <w:color w:val="1B1F24"/>
          <w:sz w:val="21"/>
          <w:szCs w:val="21"/>
        </w:rPr>
        <w:t xml:space="preserve">Wolverine’s native transports are RabbitMQ, Azure Service Bus, SQS/SNS, Kafka, MQTT, SQL-table, and in-process. It has </w:t>
      </w:r>
      <w:r>
        <w:rPr>
          <w:b/>
          <w:bCs/>
          <w:color w:val="1B1F24"/>
          <w:sz w:val="21"/>
          <w:szCs w:val="21"/>
        </w:rPr>
        <w:t xml:space="preserve">no Artemis transport and no generic AMQP-1.0 transport</w:t>
      </w:r>
      <w:r>
        <w:rPr>
          <w:color w:val="1B1F24"/>
          <w:sz w:val="21"/>
          <w:szCs w:val="21"/>
        </w:rPr>
        <w:t xml:space="preserve"> (its RabbitMQ transport speaks AMQP 0.9.1), so it cannot point at Artemis at all, and its scheduling is framework-managed in a polled durable store rather than at the broker. It therefore can’t even participate in an Artemis-vs-RabbitMQ comparison.</w:t>
      </w:r>
    </w:p>
    <w:p>
      <w:pPr>
        <w:pStyle w:val="Heading2"/>
      </w:pPr>
      <w:r>
        <w:rPr>
          <w:b/>
          <w:bCs/>
          <w:color w:val="B5572A"/>
          <w:sz w:val="23"/>
          <w:szCs w:val="23"/>
        </w:rPr>
        <w:t xml:space="preserve">MassTransit</w:t>
      </w:r>
    </w:p>
    <w:p>
      <w:pPr>
        <w:spacing w:after="140" w:line="276"/>
      </w:pPr>
      <w:r>
        <w:rPr>
          <w:color w:val="1B1F24"/>
          <w:sz w:val="21"/>
          <w:szCs w:val="21"/>
        </w:rPr>
        <w:t xml:space="preserve">MassTransit does have an ActiveMQ transport with an Artemis-compatibility switch, and pub/sub, fanout, competing consumers, retry, and poison handling all work on it. But three findings rule it out: </w:t>
      </w:r>
      <w:r>
        <w:rPr>
          <w:b/>
          <w:bCs/>
          <w:color w:val="1B1F24"/>
          <w:sz w:val="21"/>
          <w:szCs w:val="21"/>
        </w:rPr>
        <w:t xml:space="preserve">(1) broker-native scheduling is broken on Artemis</w:t>
      </w:r>
      <w:r>
        <w:rPr>
          <w:color w:val="1B1F24"/>
          <w:sz w:val="21"/>
          <w:szCs w:val="21"/>
        </w:rPr>
        <w:t xml:space="preserve"> — its scheduler sets the ActiveMQ-Classic header AMQ_SCHEDULED_DELAY, which Artemis does not implement, so scheduled messages are delivered immediately (issue #3213); </w:t>
      </w:r>
      <w:r>
        <w:rPr>
          <w:b/>
          <w:bCs/>
          <w:color w:val="1B1F24"/>
          <w:sz w:val="21"/>
          <w:szCs w:val="21"/>
        </w:rPr>
        <w:t xml:space="preserve">(2) licensing</w:t>
      </w:r>
      <w:r>
        <w:rPr>
          <w:color w:val="1B1F24"/>
          <w:sz w:val="21"/>
          <w:szCs w:val="21"/>
        </w:rPr>
        <w:t xml:space="preserve"> — v8 (the only free, ActiveMQ-capable line) loses support at the end of 2026, while v9 is commercial and dropped the ActiveMQ transport entirely; and </w:t>
      </w:r>
      <w:r>
        <w:rPr>
          <w:b/>
          <w:bCs/>
          <w:color w:val="1B1F24"/>
          <w:sz w:val="21"/>
          <w:szCs w:val="21"/>
        </w:rPr>
        <w:t xml:space="preserve">(3) no manual-acknowledgement API</w:t>
      </w:r>
      <w:r>
        <w:rPr>
          <w:color w:val="1B1F24"/>
          <w:sz w:val="21"/>
          <w:szCs w:val="21"/>
        </w:rPr>
        <w:t xml:space="preserve"> — acknowledgement is a framework concern, not the broker-level primitive this comparison shows side-by-side.</w:t>
      </w:r>
    </w:p>
    <w:p>
      <w:pPr>
        <w:pStyle w:val="Heading2"/>
      </w:pPr>
      <w:r>
        <w:rPr>
          <w:b/>
          <w:bCs/>
          <w:color w:val="16314F"/>
          <w:sz w:val="23"/>
          <w:szCs w:val="23"/>
        </w:rPr>
        <w:t xml:space="preserve">What we kept instead</w:t>
      </w:r>
    </w:p>
    <w:p>
      <w:pPr>
        <w:spacing w:after="140" w:line="276"/>
      </w:pPr>
      <w:r>
        <w:rPr>
          <w:color w:val="1B1F24"/>
          <w:sz w:val="21"/>
          <w:szCs w:val="21"/>
        </w:rPr>
        <w:t xml:space="preserve">A thin IMessageScheduler + IMessageBus seam with three interchangeable adapters per language. It schedules </w:t>
      </w:r>
      <w:r>
        <w:rPr>
          <w:b/>
          <w:bCs/>
          <w:color w:val="1B1F24"/>
          <w:sz w:val="21"/>
          <w:szCs w:val="21"/>
        </w:rPr>
        <w:t xml:space="preserve">at the broker</w:t>
      </w:r>
      <w:r>
        <w:rPr>
          <w:color w:val="1B1F24"/>
          <w:sz w:val="21"/>
          <w:szCs w:val="21"/>
        </w:rPr>
        <w:t xml:space="preserve"> on Artemis via the x-opt-delivery-time annotation — the same family Azure Service Bus uses — with cancel and list through the management API, verified live (S2–S4), and with no framework dependency, no licensing cliff, and no hidden database. If a future requirement drops Artemis or relaxes broker-native scheduling, a framework becomes attractive again; for this requirement set, hand-rolling the single seam is the smaller, more honest choice.</w:t>
      </w:r>
    </w:p>
    <w:p>
      <w:pPr>
        <w:pStyle w:val="Heading1"/>
      </w:pPr>
      <w:r>
        <w:rPr>
          <w:b/>
          <w:bCs/>
          <w:color w:val="16314F"/>
          <w:sz w:val="28"/>
          <w:szCs w:val="28"/>
        </w:rPr>
        <w:t xml:space="preserve">11.  Suggested migration route</w:t>
      </w:r>
    </w:p>
    <w:p>
      <w:pPr>
        <w:spacing w:after="140" w:line="276"/>
      </w:pPr>
      <w:r>
        <w:rPr>
          <w:color w:val="1B1F24"/>
          <w:sz w:val="21"/>
          <w:szCs w:val="21"/>
        </w:rPr>
        <w:t xml:space="preserve">A single seam introduced in four steps, reversible at every stage. No service ends up containing broker-selection logic — one environment variable is the only switch.</w:t>
      </w:r>
    </w:p>
    <w:p>
      <w:pPr>
        <w:spacing w:after="90" w:line="276"/>
      </w:pPr>
      <w:r>
        <w:rPr>
          <w:b/>
          <w:bCs/>
          <w:color w:val="0F6E6E"/>
          <w:sz w:val="21"/>
          <w:szCs w:val="21"/>
        </w:rPr>
        <w:t xml:space="preserve">Step 1 — Introduce the seam.</w:t>
      </w:r>
      <w:r>
        <w:rPr>
          <w:color w:val="1B1F24"/>
          <w:sz w:val="21"/>
          <w:szCs w:val="21"/>
        </w:rPr>
        <w:t xml:space="preserve"> Add a shared package exporting two interfaces, IMessageScheduler and IMessageBus, plus their supporting types. Abstractions only; no existing file is modified yet.</w:t>
      </w:r>
    </w:p>
    <w:p>
      <w:pPr>
        <w:spacing w:after="90" w:line="276"/>
      </w:pPr>
      <w:r>
        <w:rPr>
          <w:b/>
          <w:bCs/>
          <w:color w:val="0F6E6E"/>
          <w:sz w:val="21"/>
          <w:szCs w:val="21"/>
        </w:rPr>
        <w:t xml:space="preserve">Step 2 — Adaptation layer.</w:t>
      </w:r>
      <w:r>
        <w:rPr>
          <w:color w:val="1B1F24"/>
          <w:sz w:val="21"/>
          <w:szCs w:val="21"/>
        </w:rPr>
        <w:t xml:space="preserve"> Refactor the existing SDK wrappers to implement the interfaces (their public signatures don’t change), then route every file that imports @azure/service-bus directly through the seam. The current grep finds roughly 17 wrapper files and 22 direct-import sites — </w:t>
      </w:r>
      <w:r>
        <w:rPr>
          <w:b/>
          <w:bCs/>
          <w:color w:val="1B1F24"/>
          <w:sz w:val="21"/>
          <w:szCs w:val="21"/>
        </w:rPr>
        <w:t xml:space="preserve">treat those as a floor; the real surface is likely larger</w:t>
      </w:r>
      <w:r>
        <w:rPr>
          <w:color w:val="1B1F24"/>
          <w:sz w:val="21"/>
          <w:szCs w:val="21"/>
        </w:rPr>
        <w:t xml:space="preserve">. The end state: the SDK is imported only by the ASB adapter.</w:t>
      </w:r>
    </w:p>
    <w:p>
      <w:pPr>
        <w:spacing w:after="90" w:line="276"/>
      </w:pPr>
      <w:r>
        <w:rPr>
          <w:b/>
          <w:bCs/>
          <w:color w:val="0F6E6E"/>
          <w:sz w:val="21"/>
          <w:szCs w:val="21"/>
        </w:rPr>
        <w:t xml:space="preserve">Step 3 — Three adapters.</w:t>
      </w:r>
      <w:r>
        <w:rPr>
          <w:color w:val="1B1F24"/>
          <w:sz w:val="21"/>
          <w:szCs w:val="21"/>
        </w:rPr>
        <w:t xml:space="preserve"> AsbAdapter (today’s behavior, now behind the interface), ArtemisAdapter (scheduling via x-opt-delivery-time; cancel/list via the Jolokia management API; pub/sub over AMQP 1.0), and InMemoryAdapter (deterministic, no I/O, for tests and local dev). Each declares a Capabilities object the factory and callers can inspect at runtime.</w:t>
      </w:r>
    </w:p>
    <w:p>
      <w:pPr>
        <w:spacing w:after="140" w:line="276"/>
      </w:pPr>
      <w:r>
        <w:rPr>
          <w:b/>
          <w:bCs/>
          <w:color w:val="0F6E6E"/>
          <w:sz w:val="21"/>
          <w:szCs w:val="21"/>
        </w:rPr>
        <w:t xml:space="preserve">Step 4 — Factory + feature flag.</w:t>
      </w:r>
      <w:r>
        <w:rPr>
          <w:color w:val="1B1F24"/>
          <w:sz w:val="21"/>
          <w:szCs w:val="21"/>
        </w:rPr>
        <w:t xml:space="preserve"> createMessagingAdapter(config) reads one variable, MESSAGING_BROKER = asb | artemis | in-memory, and returns the matching adapter wrapped in the Cockatiel resilience decorator (retry + circuit breaker). It defaults to asb, so existing deployments are unchanged until the variable is set.</w:t>
      </w:r>
    </w:p>
    <w:p>
      <w:pPr>
        <w:spacing w:after="140" w:line="276"/>
      </w:pPr>
      <w:r>
        <w:rPr>
          <w:b/>
          <w:bCs/>
          <w:color w:val="16314F"/>
          <w:sz w:val="21"/>
          <w:szCs w:val="21"/>
        </w:rPr>
        <w:t xml:space="preserve">Cutover.</w:t>
      </w:r>
      <w:r>
        <w:rPr>
          <w:color w:val="1B1F24"/>
          <w:sz w:val="21"/>
          <w:szCs w:val="21"/>
        </w:rPr>
        <w:t xml:space="preserve"> Deploy on asb (identical to today, zero risk) → drain existing queues to zero or backfill far-future scheduled messages → flip MESSAGING_BROKER=artemis per service, starting with the lowest-traffic → once all services are stable on Artemis, delete the ASB adapter and remove the @azure/service-bus dependency. Every stage is reversible by flipping the flag back to asb.</w:t>
      </w:r>
    </w:p>
    <w:p>
      <w:pPr>
        <w:pStyle w:val="Heading1"/>
        <w:pageBreakBefore/>
      </w:pPr>
      <w:r>
        <w:rPr>
          <w:b/>
          <w:bCs/>
          <w:color w:val="16314F"/>
          <w:sz w:val="28"/>
          <w:szCs w:val="28"/>
        </w:rPr>
        <w:t xml:space="preserve">12.  SSE — a real-time push backplane (future use cases)</w:t>
      </w:r>
    </w:p>
    <w:p>
      <w:pPr>
        <w:spacing w:after="140" w:line="276"/>
      </w:pPr>
      <w:r>
        <w:rPr>
          <w:color w:val="1B1F24"/>
          <w:sz w:val="21"/>
          <w:szCs w:val="21"/>
        </w:rPr>
        <w:t xml:space="preserve">Beyond scheduled messaging, the PoC includes a runnable SSE cluster (TypeScript) that proves the candidate broker — Artemis or RabbitMQ, identically — can deliver server-pushed events to browsers at scale.</w:t>
      </w:r>
    </w:p>
    <w:p>
      <w:pPr>
        <w:pStyle w:val="Heading2"/>
      </w:pPr>
      <w:r>
        <w:rPr>
          <w:b/>
          <w:bCs/>
          <w:color w:val="0F6E6E"/>
          <w:sz w:val="23"/>
          <w:szCs w:val="23"/>
        </w:rPr>
        <w:t xml:space="preserve">What we built and validated</w:t>
      </w:r>
    </w:p>
    <w:p>
      <w:pPr>
        <w:spacing w:after="140" w:line="276"/>
      </w:pPr>
      <w:r>
        <w:rPr>
          <w:color w:val="1B1F24"/>
          <w:sz w:val="21"/>
          <w:szCs w:val="21"/>
        </w:rPr>
        <w:t xml:space="preserve">Two server instances share one broker; a message published on either instance reaches a client connected to either instance. The automated test (npm run test:sse) asserts three properties against both brokers: </w:t>
      </w:r>
      <w:r>
        <w:rPr>
          <w:b/>
          <w:bCs/>
          <w:color w:val="1B1F24"/>
          <w:sz w:val="21"/>
          <w:szCs w:val="21"/>
        </w:rPr>
        <w:t xml:space="preserve">user-direct routing, cross-instance org broadcast, and org isolation</w:t>
      </w:r>
      <w:r>
        <w:rPr>
          <w:color w:val="1B1F24"/>
          <w:sz w:val="21"/>
          <w:szCs w:val="21"/>
        </w:rPr>
        <w:t xml:space="preserve">.</w:t>
      </w:r>
    </w:p>
    <w:p>
      <w:pPr>
        <w:pStyle w:val="Heading2"/>
      </w:pPr>
      <w:r>
        <w:rPr>
          <w:b/>
          <w:bCs/>
          <w:color w:val="0F6E6E"/>
          <w:sz w:val="23"/>
          <w:szCs w:val="23"/>
        </w:rPr>
        <w:t xml:space="preserve">The key architectural property — no presence registry</w:t>
      </w:r>
    </w:p>
    <w:p>
      <w:pPr>
        <w:spacing w:after="140" w:line="276"/>
      </w:pPr>
      <w:r>
        <w:rPr>
          <w:color w:val="1B1F24"/>
          <w:sz w:val="21"/>
          <w:szCs w:val="21"/>
        </w:rPr>
        <w:t xml:space="preserve">The servers store nothing about who is connected. Each connection leans entirely on the broker’s topic routing via two transient subscriptions — user.{userId} and org.{orgId} — that auto-delete on disconnect. That is what makes the web tier </w:t>
      </w:r>
      <w:r>
        <w:rPr>
          <w:b/>
          <w:bCs/>
          <w:color w:val="1B1F24"/>
          <w:sz w:val="21"/>
          <w:szCs w:val="21"/>
        </w:rPr>
        <w:t xml:space="preserve">horizontally scalable and disposable</w:t>
      </w:r>
      <w:r>
        <w:rPr>
          <w:color w:val="1B1F24"/>
          <w:sz w:val="21"/>
          <w:szCs w:val="21"/>
        </w:rPr>
        <w:t xml:space="preserve">: add instances freely, lose one without losing routing, and never reconcile a connection table. The broker is the fan-out fabric.</w:t>
      </w:r>
    </w:p>
    <w:p>
      <w:pPr>
        <w:pStyle w:val="Heading2"/>
      </w:pPr>
      <w:r>
        <w:rPr>
          <w:b/>
          <w:bCs/>
          <w:color w:val="0F6E6E"/>
          <w:sz w:val="23"/>
          <w:szCs w:val="23"/>
        </w:rPr>
        <w:t xml:space="preserve">Why it's strategically attractive</w:t>
      </w:r>
    </w:p>
    <w:p>
      <w:pPr>
        <w:spacing w:after="140" w:line="276"/>
      </w:pPr>
      <w:r>
        <w:rPr>
          <w:color w:val="1B1F24"/>
          <w:sz w:val="21"/>
          <w:szCs w:val="21"/>
        </w:rPr>
        <w:t xml:space="preserve">We are already adopting this broker for scheduled messaging (the Azure Service Bus replacement). SSE rides the </w:t>
      </w:r>
      <w:r>
        <w:rPr>
          <w:b/>
          <w:bCs/>
          <w:color w:val="1B1F24"/>
          <w:sz w:val="21"/>
          <w:szCs w:val="21"/>
        </w:rPr>
        <w:t xml:space="preserve">same infrastructure and the same topic-routing mechanism validated for pub/sub (S5)</w:t>
      </w:r>
      <w:r>
        <w:rPr>
          <w:color w:val="1B1F24"/>
          <w:sz w:val="21"/>
          <w:szCs w:val="21"/>
        </w:rPr>
        <w:t xml:space="preserve"> — no second system, no new operational surface. Real-time browser push becomes an incremental capability rather than a new project.</w:t>
      </w:r>
    </w:p>
    <w:p>
      <w:pPr>
        <w:pStyle w:val="Heading2"/>
      </w:pPr>
      <w:r>
        <w:rPr>
          <w:b/>
          <w:bCs/>
          <w:color w:val="0F6E6E"/>
          <w:sz w:val="23"/>
          <w:szCs w:val="23"/>
        </w:rPr>
        <w:t xml:space="preserve">Delivery shapes available today</w:t>
      </w:r>
    </w:p>
    <w:p>
      <w:pPr>
        <w:pStyle w:val="ListParagraph"/>
        <w:numPr>
          <w:ilvl w:val="0"/>
          <w:numId w:val="2"/>
        </w:numPr>
        <w:spacing w:after="70" w:line="272"/>
      </w:pPr>
      <w:r>
        <w:rPr>
          <w:b/>
          <w:bCs/>
          <w:color w:val="1B1F24"/>
          <w:sz w:val="21"/>
          <w:szCs w:val="21"/>
        </w:rPr>
        <w:t xml:space="preserve">Per-user direct (user.{id})</w:t>
      </w:r>
      <w:r>
        <w:rPr>
          <w:color w:val="1B1F24"/>
          <w:sz w:val="21"/>
          <w:szCs w:val="21"/>
        </w:rPr>
        <w:t xml:space="preserve"> — reaches only that user’s connection(s), on any instance.</w:t>
      </w:r>
    </w:p>
    <w:p>
      <w:pPr>
        <w:pStyle w:val="ListParagraph"/>
        <w:numPr>
          <w:ilvl w:val="0"/>
          <w:numId w:val="2"/>
        </w:numPr>
        <w:spacing w:after="100" w:line="272"/>
      </w:pPr>
      <w:r>
        <w:rPr>
          <w:b/>
          <w:bCs/>
          <w:color w:val="1B1F24"/>
          <w:sz w:val="21"/>
          <w:szCs w:val="21"/>
        </w:rPr>
        <w:t xml:space="preserve">Per-org broadcast (org.{id})</w:t>
      </w:r>
      <w:r>
        <w:rPr>
          <w:color w:val="1B1F24"/>
          <w:sz w:val="21"/>
          <w:szCs w:val="21"/>
        </w:rPr>
        <w:t xml:space="preserve"> — fans out to every connected member of a tenant, across all instances, isolated from other tenants.</w:t>
      </w:r>
    </w:p>
    <w:p>
      <w:pPr>
        <w:spacing w:after="140" w:line="276"/>
      </w:pPr>
      <w:r>
        <w:rPr>
          <w:color w:val="1B1F24"/>
          <w:sz w:val="21"/>
          <w:szCs w:val="21"/>
        </w:rPr>
        <w:t xml:space="preserve">These two cover the large majority of operational real-time needs: notifications, live status, dashboards, and broadcasts.</w:t>
      </w:r>
    </w:p>
    <w:p>
      <w:pPr>
        <w:pStyle w:val="Heading2"/>
      </w:pPr>
      <w:r>
        <w:rPr>
          <w:b/>
          <w:bCs/>
          <w:color w:val="B5572A"/>
          <w:sz w:val="23"/>
          <w:szCs w:val="23"/>
        </w:rPr>
        <w:t xml:space="preserve">Honest limits — deliberately out of scope in the PoC</w:t>
      </w:r>
    </w:p>
    <w:p>
      <w:pPr>
        <w:pStyle w:val="ListParagraph"/>
        <w:numPr>
          <w:ilvl w:val="0"/>
          <w:numId w:val="2"/>
        </w:numPr>
        <w:spacing w:after="70" w:line="272"/>
      </w:pPr>
      <w:r>
        <w:rPr>
          <w:b/>
          <w:bCs/>
          <w:color w:val="1B1F24"/>
          <w:sz w:val="21"/>
          <w:szCs w:val="21"/>
        </w:rPr>
        <w:t xml:space="preserve">No presence / online-status store.</w:t>
      </w:r>
      <w:r>
        <w:rPr>
          <w:color w:val="1B1F24"/>
          <w:sz w:val="21"/>
          <w:szCs w:val="21"/>
        </w:rPr>
        <w:t xml:space="preserve"> By design — it’s what keeps the tier stateless. “Who is online” use cases (collaboration presence, “user is typing”) would require adding a presence model on top: a deliberate next step, not something the demo provides.</w:t>
      </w:r>
    </w:p>
    <w:p>
      <w:pPr>
        <w:pStyle w:val="ListParagraph"/>
        <w:numPr>
          <w:ilvl w:val="0"/>
          <w:numId w:val="2"/>
        </w:numPr>
        <w:spacing w:after="70" w:line="272"/>
      </w:pPr>
      <w:r>
        <w:rPr>
          <w:b/>
          <w:bCs/>
          <w:color w:val="1B1F24"/>
          <w:sz w:val="21"/>
          <w:szCs w:val="21"/>
        </w:rPr>
        <w:t xml:space="preserve">No replay / backfill on the SSE path.</w:t>
      </w:r>
      <w:r>
        <w:rPr>
          <w:color w:val="1B1F24"/>
          <w:sz w:val="21"/>
          <w:szCs w:val="21"/>
        </w:rPr>
        <w:t xml:space="preserve"> A disconnected client misses messages published while away; SSE’s Last-Event-ID reconnect isn’t wired to a durable backlog here. Guaranteed catch-up would pair SSE with a durable subscription (S17) or stream replay (S19).</w:t>
      </w:r>
    </w:p>
    <w:p>
      <w:pPr>
        <w:pStyle w:val="ListParagraph"/>
        <w:numPr>
          <w:ilvl w:val="0"/>
          <w:numId w:val="2"/>
        </w:numPr>
        <w:spacing w:after="70" w:line="272"/>
      </w:pPr>
      <w:r>
        <w:rPr>
          <w:b/>
          <w:bCs/>
          <w:color w:val="1B1F24"/>
          <w:sz w:val="21"/>
          <w:szCs w:val="21"/>
        </w:rPr>
        <w:t xml:space="preserve">Demo-grade edges.</w:t>
      </w:r>
      <w:r>
        <w:rPr>
          <w:color w:val="1B1F24"/>
          <w:sz w:val="21"/>
          <w:szCs w:val="21"/>
        </w:rPr>
        <w:t xml:space="preserve"> Permissive CORS, no auth on /publish or /events (userId/orgId are trusted query params), 15s heartbeat to survive proxies. Production needs auth/authorization on both endpoints and server-side tenant scoping.</w:t>
      </w:r>
    </w:p>
    <w:p>
      <w:pPr>
        <w:pStyle w:val="ListParagraph"/>
        <w:numPr>
          <w:ilvl w:val="0"/>
          <w:numId w:val="2"/>
        </w:numPr>
        <w:spacing w:after="120" w:line="272"/>
      </w:pPr>
      <w:r>
        <w:rPr>
          <w:b/>
          <w:bCs/>
          <w:color w:val="1B1F24"/>
          <w:sz w:val="21"/>
          <w:szCs w:val="21"/>
        </w:rPr>
        <w:t xml:space="preserve">One-directional (server→client).</w:t>
      </w:r>
      <w:r>
        <w:rPr>
          <w:color w:val="1B1F24"/>
          <w:sz w:val="21"/>
          <w:szCs w:val="21"/>
        </w:rPr>
        <w:t xml:space="preserve"> Client→server stays over normal HTTP POST. For bidirectional low-latency, WebSocket is the alternative — but SSE is simpler, proxy-friendly, and auto-reconnecting, which makes it the right default for push.</w:t>
      </w:r>
    </w:p>
    <w:p>
      <w:pPr>
        <w:pStyle w:val="Heading2"/>
      </w:pPr>
      <w:r>
        <w:rPr>
          <w:b/>
          <w:bCs/>
          <w:color w:val="16314F"/>
          <w:sz w:val="23"/>
          <w:szCs w:val="23"/>
        </w:rPr>
        <w:t xml:space="preserve">Recommendation</w:t>
      </w:r>
    </w:p>
    <w:p>
      <w:pPr>
        <w:spacing w:after="140" w:line="276"/>
      </w:pPr>
      <w:r>
        <w:rPr>
          <w:color w:val="1B1F24"/>
          <w:sz w:val="21"/>
          <w:szCs w:val="21"/>
        </w:rPr>
        <w:t xml:space="preserve">Treat SSE as a validated, near-zero-marginal-cost capability of the broker we’re already adopting. </w:t>
      </w:r>
      <w:r>
        <w:rPr>
          <w:b/>
          <w:bCs/>
          <w:color w:val="1B1F24"/>
          <w:sz w:val="21"/>
          <w:szCs w:val="21"/>
        </w:rPr>
        <w:t xml:space="preserve">Greenlight it now for push-style use cases</w:t>
      </w:r>
      <w:r>
        <w:rPr>
          <w:color w:val="1B1F24"/>
          <w:sz w:val="21"/>
          <w:szCs w:val="21"/>
        </w:rPr>
        <w:t xml:space="preserve"> (notifications, live status, dashboards, org broadcasts); defer presence- and guaranteed-replay-dependent use cases to a follow-up that layers a presence store and/or durable backlog on the existing seam.</w:t>
      </w:r>
    </w:p>
    <w:p>
      <w:pPr>
        <w:pStyle w:val="Heading1"/>
      </w:pPr>
      <w:r>
        <w:rPr>
          <w:b/>
          <w:bCs/>
          <w:color w:val="16314F"/>
          <w:sz w:val="28"/>
          <w:szCs w:val="28"/>
        </w:rPr>
        <w:t xml:space="preserve">Appendix — Azure Service Bus (reference only, not measured)</w:t>
      </w:r>
    </w:p>
    <w:p>
      <w:pPr>
        <w:spacing w:after="140" w:line="276"/>
      </w:pPr>
      <w:r>
        <w:rPr>
          <w:color w:val="5B6670"/>
          <w:sz w:val="18"/>
          <w:szCs w:val="18"/>
        </w:rPr>
        <w:t xml:space="preserve">From product capability, not tested by this suite — verify specifics before quoting externally.</w:t>
      </w:r>
    </w:p>
    <w:p>
      <w:pPr>
        <w:spacing w:after="140" w:line="276"/>
      </w:pPr>
      <w:r>
        <w:rPr>
          <w:color w:val="1B1F24"/>
          <w:sz w:val="21"/>
          <w:szCs w:val="21"/>
        </w:rPr>
        <w:t xml:space="preserve">ASB has native scheduled messages + cancel via sequence number (≈S2/S3), topics/subscriptions with SQL/correlation filters (≈S5/S6), native dead-letter + maxDeliveryCount (≈S7/S8), sessions = ordered message groups + single-active (≈S12/S18), native duplicate detection (≈S13), per-message TTL (≈S16), and request/reply via ReplyTo (≈S15). Like Artemis, it is a queue/broker — no Kafka-style replay of consumed messages (≈S19 would be ⊘). Net: ASB ≈ “Artemis-class” feature breadth as a managed service, with Kafka complementing it for high-throughput streaming and replay.</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0"/>
        <w:sz w:val="16"/>
        <w:szCs w:val="16"/>
      </w:rPr>
      <w:t xml:space="preserve">Page </w:t>
    </w:r>
    <w:r>
      <w:rPr>
        <w:color w:val="5B6670"/>
        <w:sz w:val="16"/>
        <w:szCs w:val="16"/>
      </w:rPr>
      <w:fldChar w:fldCharType="begin"/>
      <w:instrText xml:space="preserve">PAGE</w:instrText>
      <w:fldChar w:fldCharType="separate"/>
      <w:fldChar w:fldCharType="end"/>
    </w:r>
    <w:r>
      <w:rPr>
        <w:color w:val="5B6670"/>
        <w:sz w:val="16"/>
        <w:szCs w:val="16"/>
      </w:rPr>
      <w:t xml:space="preserve"> of </w:t>
    </w:r>
    <w:r>
      <w:rPr>
        <w:color w:val="5B66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AE0" w:sz="4" w:space="6"/>
      </w:pBdr>
      <w:tabs>
        <w:tab w:val="right" w:pos="9360"/>
      </w:tabs>
      <w:spacing w:after="0"/>
    </w:pPr>
    <w:r>
      <w:rPr>
        <w:b/>
        <w:bCs/>
        <w:color w:val="5B6670"/>
        <w:sz w:val="15"/>
        <w:szCs w:val="15"/>
      </w:rPr>
      <w:t xml:space="preserve">CONFORMANCE MEMO</w:t>
    </w:r>
    <w:r>
      <w:rPr>
        <w:color w:val="5B6670"/>
        <w:sz w:val="15"/>
        <w:szCs w:val="15"/>
      </w:rPr>
      <w:t xml:space="preserve">	Artemis · RabbitMQ · Kafka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rPr>
        <w:color w:val="0F6E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6314F"/>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631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Broker Conformance — Artemis / RabbitMQ / Kafka</dc:title>
  <dc:creator>Platform Engineering</dc:creator>
  <cp:lastModifiedBy>Un-named</cp:lastModifiedBy>
  <cp:revision>1</cp:revision>
  <dcterms:created xsi:type="dcterms:W3CDTF">2026-06-22T08:23:28.138Z</dcterms:created>
  <dcterms:modified xsi:type="dcterms:W3CDTF">2026-06-22T08:23:28.138Z</dcterms:modified>
</cp:coreProperties>
</file>

<file path=docProps/custom.xml><?xml version="1.0" encoding="utf-8"?>
<Properties xmlns="http://schemas.openxmlformats.org/officeDocument/2006/custom-properties" xmlns:vt="http://schemas.openxmlformats.org/officeDocument/2006/docPropsVTypes"/>
</file>