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Product Approval Checklist</w:t>
      </w:r>
    </w:p>
    <w:p>
      <w:pPr>
        <w:spacing w:after="200"/>
        <w:jc w:val="center"/>
      </w:pPr>
      <w:r>
        <w:rPr>
          <w:rFonts w:ascii="Arial" w:cs="Arial" w:eastAsia="Arial" w:hAnsi="Arial"/>
          <w:i/>
          <w:iCs/>
          <w:color w:val="2E5C8A"/>
          <w:sz w:val="26"/>
          <w:szCs w:val="26"/>
        </w:rPr>
        <w:t xml:space="preserve">Consumer Duty Implementation — Products &amp; Services Outcome</w:t>
      </w:r>
    </w:p>
    <w:p>
      <w:pPr>
        <w:spacing w:after="2000"/>
        <w:jc w:val="center"/>
      </w:pPr>
      <w:r>
        <w:rPr>
          <w:rFonts w:ascii="Arial" w:cs="Arial" w:eastAsia="Arial" w:hAnsi="Arial"/>
          <w:color w:val="595959"/>
          <w:sz w:val="22"/>
          <w:szCs w:val="22"/>
        </w:rPr>
        <w:t xml:space="preserve">Reference: CD-I1</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Purpose</w:t>
      </w:r>
    </w:p>
    <w:p>
      <w:pPr>
        <w:spacing w:after="160" w:line="276"/>
      </w:pPr>
      <w:r>
        <w:rPr>
          <w:rFonts w:ascii="Arial" w:cs="Arial" w:eastAsia="Arial" w:hAnsi="Arial"/>
          <w:b w:val="false"/>
          <w:bCs w:val="false"/>
          <w:i w:val="false"/>
          <w:iCs w:val="false"/>
          <w:sz w:val="21"/>
          <w:szCs w:val="21"/>
        </w:rPr>
        <w:t xml:space="preserve">This checklist must be completed and signed off before any new product or service, or a material change to an existing product, is approved for launch. It confirms the product meets the requirements of the FCA Consumer Duty (PRIN 2A) across target market, fair value, consumer understanding, and consumer support, and provides an auditable record of the approval decision.</w:t>
      </w:r>
    </w:p>
    <w:p>
      <w:pPr>
        <w:pStyle w:val="Heading1"/>
        <w:spacing w:after="140" w:before="280"/>
      </w:pPr>
      <w:r>
        <w:t xml:space="preserve">Product Details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Product / Service Name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Product Name]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Product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Proposed Launch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New Product / Material Change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New / Material Change — describe]</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Section A — Target Market &amp; Distribution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5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Checklist Item</w:t>
            </w:r>
          </w:p>
        </w:tc>
        <w:tc>
          <w:tcPr>
            <w:tcW w:type="dxa" w:w="1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 / N / N-A</w:t>
            </w:r>
          </w:p>
        </w:tc>
        <w:tc>
          <w:tcPr>
            <w:tcW w:type="dxa" w:w="18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Evidence Reference</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 defined, sufficiently granular target market has been documented (see Target Market Definition Template, CD-I1).</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 negative target market has been identified and documented, with controls to prevent inappropriate sale (see Negative Target Market Assessment, CD-I1).</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The distribution strategy has been reviewed and is appropriate to reach the intended target market only.</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Any third-party distributors have received the target market information necessary to distribute the product appropriately.</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The product has been assessed for foreseeable harm to any customer within the target market, including vulnerable customers.</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pStyle w:val="Heading1"/>
        <w:spacing w:after="140" w:before="280"/>
      </w:pPr>
      <w:r>
        <w:t xml:space="preserve">Section B — Price &amp; Value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5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Checklist Item</w:t>
            </w:r>
          </w:p>
        </w:tc>
        <w:tc>
          <w:tcPr>
            <w:tcW w:type="dxa" w:w="1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 / N / N-A</w:t>
            </w:r>
          </w:p>
        </w:tc>
        <w:tc>
          <w:tcPr>
            <w:tcW w:type="dxa" w:w="18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Evidence Reference</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 Fair Value Assessment has been completed in line with the Fair Value Assessment Framework (CD-I2).</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Pricing has been benchmarked against comparable products in the market.</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Non-monetary benefits and costs have been considered as part of the value assessment.</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Any differential pricing across customer groups has been identified, reviewed, and justified.</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5</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The Fair Value Assessment has been approved by the appropriate governance forum.</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pStyle w:val="Heading1"/>
        <w:spacing w:after="140" w:before="280"/>
      </w:pPr>
      <w:r>
        <w:t xml:space="preserve">Section C — Consumer Understanding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5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Checklist Item</w:t>
            </w:r>
          </w:p>
        </w:tc>
        <w:tc>
          <w:tcPr>
            <w:tcW w:type="dxa" w:w="1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 / N / N-A</w:t>
            </w:r>
          </w:p>
        </w:tc>
        <w:tc>
          <w:tcPr>
            <w:tcW w:type="dxa" w:w="18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Evidence Reference</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Customer-facing communications have been drafted in plain language and tested for clarity.</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Key product risks, costs, and limitations are communicated prominently and are not obscured by promotional content.</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Communications have been reviewed against the firm's Plain Language Checklist (CD-I3).</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Marketing material has been reviewed for consistency with the actual product terms.</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pStyle w:val="Heading1"/>
        <w:spacing w:after="140" w:before="280"/>
      </w:pPr>
      <w:r>
        <w:t xml:space="preserve">Section D — Consumer Support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5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Checklist Item</w:t>
            </w:r>
          </w:p>
        </w:tc>
        <w:tc>
          <w:tcPr>
            <w:tcW w:type="dxa" w:w="1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 / N / N-A</w:t>
            </w:r>
          </w:p>
        </w:tc>
        <w:tc>
          <w:tcPr>
            <w:tcW w:type="dxa" w:w="18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Evidence Reference</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Customer service standards for this product have been defined and resourced.</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Customers can exit, switch, or complain about this product as easily as they can purchase it.</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Support arrangements have been assessed for accessibility, including for vulnerable customers.</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Complaints-handling processes are in place and understood by relevant staff.</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pStyle w:val="Heading1"/>
        <w:spacing w:after="140" w:before="280"/>
      </w:pPr>
      <w:r>
        <w:t xml:space="preserve">Section E — Governance &amp; Monitoring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t>
            </w:r>
          </w:p>
        </w:tc>
        <w:tc>
          <w:tcPr>
            <w:tcW w:type="dxa" w:w="57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Checklist Item</w:t>
            </w:r>
          </w:p>
        </w:tc>
        <w:tc>
          <w:tcPr>
            <w:tcW w:type="dxa" w:w="1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Y / N / N-A</w:t>
            </w:r>
          </w:p>
        </w:tc>
        <w:tc>
          <w:tcPr>
            <w:tcW w:type="dxa" w:w="18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Evidence Reference</w:t>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1</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Outcomes monitoring metrics have been defined for this product ahead of launch.</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2</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 post-launch review date has been set (see Product Review Template, CD-I1).</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3</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The product has been approved by the relevant product governance committee.</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r>
        <w:tc>
          <w:tcPr>
            <w:tcW w:type="dxa" w:w="7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4</w:t>
            </w:r>
          </w:p>
        </w:tc>
        <w:tc>
          <w:tcPr>
            <w:tcW w:type="dxa" w:w="5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This checklist and supporting evidence have been filed in the Evidence Log &amp; Repository (CD-I7).</w:t>
            </w:r>
          </w:p>
        </w:tc>
        <w:tc>
          <w:tcPr>
            <w:tcW w:type="dxa" w:w="1500"/>
            <w:tcMar>
              <w:top w:type="dxa" w:w="80"/>
              <w:left w:type="dxa" w:w="100"/>
              <w:bottom w:type="dxa" w:w="80"/>
              <w:right w:type="dxa" w:w="100"/>
            </w:tcMar>
            <w:vAlign w:val="center"/>
          </w:tcPr>
          <w:p>
            <w:pPr>
              <w:jc w:val="center"/>
            </w:pPr>
            <w:r>
              <w:rPr>
                <w:rFonts w:ascii="Arial" w:cs="Arial" w:eastAsia="Arial" w:hAnsi="Arial"/>
                <w:b w:val="false"/>
                <w:bCs w:val="false"/>
                <w:color w:val="000000"/>
                <w:sz w:val="20"/>
                <w:szCs w:val="20"/>
              </w:rPr>
              <w:t xml:space="preserve"/>
            </w:r>
          </w:p>
        </w:tc>
        <w:tc>
          <w:tcPr>
            <w:tcW w:type="dxa" w:w="18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pStyle w:val="Heading1"/>
        <w:spacing w:after="140" w:before="280"/>
      </w:pPr>
      <w:r>
        <w:t xml:space="preserve">Approval Decision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Decision</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[Approved / Approved with Conditions / Rejected]</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Conditions (if any)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conditions]</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Role, Date]</w:t>
            </w:r>
          </w:p>
        </w:tc>
      </w:tr>
    </w:tbl>
    <w:p>
      <w:pPr>
        <w:spacing w:after="160" w:line="276"/>
      </w:pPr>
      <w:r>
        <w:rPr>
          <w:rFonts w:ascii="Arial" w:cs="Arial" w:eastAsia="Arial" w:hAnsi="Arial"/>
          <w:b w:val="false"/>
          <w:bCs w:val="false"/>
          <w:i w:val="false"/>
          <w:iCs w:val="false"/>
          <w:sz w:val="21"/>
          <w:szCs w:val="21"/>
        </w:rPr>
        <w:t xml:space="preserve"/>
      </w:r>
    </w:p>
    <w:p>
      <w:pPr>
        <w:spacing w:after="160"/>
      </w:pPr>
      <w:r>
        <w:rPr>
          <w:rFonts w:ascii="Arial" w:cs="Arial" w:eastAsia="Arial" w:hAnsi="Arial"/>
          <w:i/>
          <w:iCs/>
          <w:color w:val="8A8A8A"/>
          <w:sz w:val="21"/>
          <w:szCs w:val="21"/>
        </w:rPr>
        <w:t xml:space="preserve">Note: Any checklist item answered 'No' must be logged in the Gap Analysis Framework (CD-F1) and resolved, or an explicit risk acceptance recorded, before approval is granted.</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2026-08-05T15:52:39.941Z</dcterms:created>
  <dcterms:modified xsi:type="dcterms:W3CDTF">2026-08-05T15:52:39.955Z</dcterms:modified>
</cp:coreProperties>
</file>

<file path=docProps/custom.xml><?xml version="1.0" encoding="utf-8"?>
<Properties xmlns="http://schemas.openxmlformats.org/officeDocument/2006/custom-properties" xmlns:vt="http://schemas.openxmlformats.org/officeDocument/2006/docPropsVTypes"/>
</file>