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Distribution Strategy Document</w:t>
      </w:r>
    </w:p>
    <w:p>
      <w:pPr>
        <w:spacing w:after="200"/>
        <w:jc w:val="center"/>
      </w:pPr>
      <w:r>
        <w:rPr>
          <w:rFonts w:ascii="Arial" w:cs="Arial" w:eastAsia="Arial" w:hAnsi="Arial"/>
          <w:i/>
          <w:iCs/>
          <w:color w:val="2E5C8A"/>
          <w:sz w:val="26"/>
          <w:szCs w:val="26"/>
        </w:rPr>
        <w:t xml:space="preserve">Consumer Duty Implementation — Products &amp; Services Outcome</w:t>
      </w:r>
    </w:p>
    <w:p>
      <w:pPr>
        <w:spacing w:after="2000"/>
        <w:jc w:val="center"/>
      </w:pPr>
      <w:r>
        <w:rPr>
          <w:rFonts w:ascii="Arial" w:cs="Arial" w:eastAsia="Arial" w:hAnsi="Arial"/>
          <w:color w:val="595959"/>
          <w:sz w:val="22"/>
          <w:szCs w:val="22"/>
        </w:rPr>
        <w:t xml:space="preserve">Reference: CD-I1</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Product Details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Product / Service Name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Product Name]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Product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Linked Target Market Ref</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Ref, e.g. TM-01 — see Target Market Definition Template, CD-I1]</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This document sets out the distribution strategy for [Insert Product Name], describing the channels through which the product is sold, the controls in place to ensure it reaches its intended target market, and how the firm oversees distributors to meet the requirements of PRIN 2A.3 (the Products and Services Outcome).</w:t>
      </w:r>
    </w:p>
    <w:p>
      <w:pPr>
        <w:pStyle w:val="Heading1"/>
        <w:spacing w:after="140" w:before="280"/>
      </w:pPr>
      <w:r>
        <w:t xml:space="preserve">2. Target Market Summary</w:t>
      </w:r>
    </w:p>
    <w:p>
      <w:pPr>
        <w:spacing w:after="160" w:line="276"/>
      </w:pPr>
      <w:r>
        <w:rPr>
          <w:rFonts w:ascii="Arial" w:cs="Arial" w:eastAsia="Arial" w:hAnsi="Arial"/>
          <w:b w:val="false"/>
          <w:bCs w:val="false"/>
          <w:i w:val="false"/>
          <w:iCs w:val="false"/>
          <w:sz w:val="21"/>
          <w:szCs w:val="21"/>
        </w:rPr>
        <w:t xml:space="preserve">[Insert a summary of the defined target market from the Target Market Definition Template (CD-I1), including the key characteristics, needs, and objectives the product is designed to meet.]</w:t>
      </w:r>
    </w:p>
    <w:p>
      <w:pPr>
        <w:spacing w:after="160" w:line="276"/>
      </w:pPr>
      <w:r>
        <w:rPr>
          <w:rFonts w:ascii="Arial" w:cs="Arial" w:eastAsia="Arial" w:hAnsi="Arial"/>
          <w:b w:val="false"/>
          <w:bCs w:val="false"/>
          <w:i w:val="false"/>
          <w:iCs w:val="false"/>
          <w:sz w:val="21"/>
          <w:szCs w:val="21"/>
        </w:rPr>
        <w:t xml:space="preserve">The following customer groups have been identified as outside the target market for this product (see Negative Target Market Assessment, CD-I1):</w:t>
      </w:r>
    </w:p>
    <w:p>
      <w:pPr>
        <w:pStyle w:val="ListParagraph"/>
        <w:numPr>
          <w:ilvl w:val="0"/>
          <w:numId w:val="2"/>
        </w:numPr>
        <w:spacing w:after="100"/>
      </w:pPr>
      <w:r>
        <w:rPr>
          <w:rFonts w:ascii="Arial" w:cs="Arial" w:eastAsia="Arial" w:hAnsi="Arial"/>
          <w:sz w:val="21"/>
          <w:szCs w:val="21"/>
        </w:rPr>
        <w:t xml:space="preserve">[Insert excluded customer group 1 and rationale]</w:t>
      </w:r>
    </w:p>
    <w:p>
      <w:pPr>
        <w:pStyle w:val="ListParagraph"/>
        <w:numPr>
          <w:ilvl w:val="0"/>
          <w:numId w:val="2"/>
        </w:numPr>
        <w:spacing w:after="100"/>
      </w:pPr>
      <w:r>
        <w:rPr>
          <w:rFonts w:ascii="Arial" w:cs="Arial" w:eastAsia="Arial" w:hAnsi="Arial"/>
          <w:sz w:val="21"/>
          <w:szCs w:val="21"/>
        </w:rPr>
        <w:t xml:space="preserve">[Insert excluded customer group 2 and rationale]</w:t>
      </w:r>
    </w:p>
    <w:p>
      <w:pPr>
        <w:pStyle w:val="Heading1"/>
        <w:spacing w:after="140" w:before="280"/>
      </w:pPr>
      <w:r>
        <w:t xml:space="preserve">3. Distribution Channels</w:t>
      </w:r>
    </w:p>
    <w:p>
      <w:pPr>
        <w:spacing w:after="160" w:line="276"/>
      </w:pPr>
      <w:r>
        <w:rPr>
          <w:rFonts w:ascii="Arial" w:cs="Arial" w:eastAsia="Arial" w:hAnsi="Arial"/>
          <w:b w:val="false"/>
          <w:bCs w:val="false"/>
          <w:i w:val="false"/>
          <w:iCs w:val="false"/>
          <w:sz w:val="21"/>
          <w:szCs w:val="21"/>
        </w:rPr>
        <w:t xml:space="preserve">The product is distributed through the following channel(s):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Channel</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Direct / Intermediated</w:t>
            </w:r>
          </w:p>
        </w:tc>
        <w:tc>
          <w:tcPr>
            <w:tcW w:type="dxa" w:w="3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c>
          <w:tcPr>
            <w:tcW w:type="dxa" w:w="1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Target Market Fit Confirmed?</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channel, e.g. Direct — Website]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[Direct]</w:t>
            </w:r>
          </w:p>
        </w:tc>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description]</w:t>
            </w:r>
          </w:p>
        </w:tc>
        <w:tc>
          <w:tcPr>
            <w:tcW w:type="dxa" w:w="1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[Yes/No]</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channel, e.g. Broker Network]</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[Intermediated]</w:t>
            </w:r>
          </w:p>
        </w:tc>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description]</w:t>
            </w:r>
          </w:p>
        </w:tc>
        <w:tc>
          <w:tcPr>
            <w:tcW w:type="dxa" w:w="1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[Yes/No]</w:t>
            </w:r>
          </w:p>
        </w:tc>
      </w:tr>
      <w:tr>
        <w:tc>
          <w:tcPr>
            <w:tcW w:type="dxa" w:w="26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channel]</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w:t>
            </w:r>
          </w:p>
        </w:tc>
        <w:tc>
          <w:tcPr>
            <w:tcW w:type="dxa" w:w="3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description]</w:t>
            </w:r>
          </w:p>
        </w:tc>
        <w:tc>
          <w:tcPr>
            <w:tcW w:type="dxa" w:w="1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[Yes/No]</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4. Third-Party Distributor Oversight</w:t>
      </w:r>
    </w:p>
    <w:p>
      <w:pPr>
        <w:spacing w:after="160" w:line="276"/>
      </w:pPr>
      <w:r>
        <w:rPr>
          <w:rFonts w:ascii="Arial" w:cs="Arial" w:eastAsia="Arial" w:hAnsi="Arial"/>
          <w:b w:val="false"/>
          <w:bCs w:val="false"/>
          <w:i w:val="false"/>
          <w:iCs w:val="false"/>
          <w:sz w:val="21"/>
          <w:szCs w:val="21"/>
        </w:rPr>
        <w:t xml:space="preserve">Where the product is sold through intermediaries or third-party distributors, the firm applies the following controls to ensure distribution remains aligned to the target market:</w:t>
      </w:r>
    </w:p>
    <w:p>
      <w:pPr>
        <w:pStyle w:val="ListParagraph"/>
        <w:numPr>
          <w:ilvl w:val="0"/>
          <w:numId w:val="3"/>
        </w:numPr>
        <w:spacing w:after="100"/>
      </w:pPr>
      <w:r>
        <w:rPr>
          <w:rFonts w:ascii="Arial" w:cs="Arial" w:eastAsia="Arial" w:hAnsi="Arial"/>
          <w:sz w:val="21"/>
          <w:szCs w:val="21"/>
        </w:rPr>
        <w:t xml:space="preserve">Target market information (positive and negative) is shared with all distributors prior to onboarding, using the Manufacturer Information Pack Template (CD-I6).</w:t>
      </w:r>
    </w:p>
    <w:p>
      <w:pPr>
        <w:pStyle w:val="ListParagraph"/>
        <w:numPr>
          <w:ilvl w:val="0"/>
          <w:numId w:val="3"/>
        </w:numPr>
        <w:spacing w:after="100"/>
      </w:pPr>
      <w:r>
        <w:rPr>
          <w:rFonts w:ascii="Arial" w:cs="Arial" w:eastAsia="Arial" w:hAnsi="Arial"/>
          <w:sz w:val="21"/>
          <w:szCs w:val="21"/>
        </w:rPr>
        <w:t xml:space="preserve">Distributor agreements include contractual obligations to distribute only within the defined target market (see Distributor Agreement Template, CD-I6).</w:t>
      </w:r>
    </w:p>
    <w:p>
      <w:pPr>
        <w:pStyle w:val="ListParagraph"/>
        <w:numPr>
          <w:ilvl w:val="0"/>
          <w:numId w:val="3"/>
        </w:numPr>
        <w:spacing w:after="100"/>
      </w:pPr>
      <w:r>
        <w:rPr>
          <w:rFonts w:ascii="Arial" w:cs="Arial" w:eastAsia="Arial" w:hAnsi="Arial"/>
          <w:sz w:val="21"/>
          <w:szCs w:val="21"/>
        </w:rPr>
        <w:t xml:space="preserve">Distributor sales data is reviewed on a [monthly/quarterly] basis to identify any sales outside the intended target market.</w:t>
      </w:r>
    </w:p>
    <w:p>
      <w:pPr>
        <w:pStyle w:val="ListParagraph"/>
        <w:numPr>
          <w:ilvl w:val="0"/>
          <w:numId w:val="3"/>
        </w:numPr>
        <w:spacing w:after="100"/>
      </w:pPr>
      <w:r>
        <w:rPr>
          <w:rFonts w:ascii="Arial" w:cs="Arial" w:eastAsia="Arial" w:hAnsi="Arial"/>
          <w:sz w:val="21"/>
          <w:szCs w:val="21"/>
        </w:rPr>
        <w:t xml:space="preserve">Distributors are subject to periodic due diligence and assessment using the Third-Party Assessment Checklist (CD-I6).</w:t>
      </w:r>
    </w:p>
    <w:p>
      <w:pPr>
        <w:pStyle w:val="ListParagraph"/>
        <w:numPr>
          <w:ilvl w:val="0"/>
          <w:numId w:val="3"/>
        </w:numPr>
        <w:spacing w:after="100"/>
      </w:pPr>
      <w:r>
        <w:rPr>
          <w:rFonts w:ascii="Arial" w:cs="Arial" w:eastAsia="Arial" w:hAnsi="Arial"/>
          <w:sz w:val="21"/>
          <w:szCs w:val="21"/>
        </w:rPr>
        <w:t xml:space="preserve">Any evidence of mis-distribution is escalated immediately and logged in the Gap Analysis Framework (CD-F1).</w:t>
      </w:r>
    </w:p>
    <w:p>
      <w:pPr>
        <w:pStyle w:val="Heading1"/>
        <w:spacing w:after="140" w:before="280"/>
      </w:pPr>
      <w:r>
        <w:t xml:space="preserve">5. Monitoring &amp; Management Information</w:t>
      </w:r>
    </w:p>
    <w:p>
      <w:pPr>
        <w:spacing w:after="160" w:line="276"/>
      </w:pPr>
      <w:r>
        <w:rPr>
          <w:rFonts w:ascii="Arial" w:cs="Arial" w:eastAsia="Arial" w:hAnsi="Arial"/>
          <w:b w:val="false"/>
          <w:bCs w:val="false"/>
          <w:i w:val="false"/>
          <w:iCs w:val="false"/>
          <w:sz w:val="21"/>
          <w:szCs w:val="21"/>
        </w:rPr>
        <w:t xml:space="preserve">The following data points are monitored to confirm the distribution strategy remains effective:</w:t>
      </w:r>
    </w:p>
    <w:p>
      <w:pPr>
        <w:pStyle w:val="ListParagraph"/>
        <w:numPr>
          <w:ilvl w:val="0"/>
          <w:numId w:val="2"/>
        </w:numPr>
        <w:spacing w:after="100"/>
      </w:pPr>
      <w:r>
        <w:rPr>
          <w:rFonts w:ascii="Arial" w:cs="Arial" w:eastAsia="Arial" w:hAnsi="Arial"/>
          <w:sz w:val="21"/>
          <w:szCs w:val="21"/>
        </w:rPr>
        <w:t xml:space="preserve">Sales volumes by channel and by customer segment/demographic, where available.</w:t>
      </w:r>
    </w:p>
    <w:p>
      <w:pPr>
        <w:pStyle w:val="ListParagraph"/>
        <w:numPr>
          <w:ilvl w:val="0"/>
          <w:numId w:val="2"/>
        </w:numPr>
        <w:spacing w:after="100"/>
      </w:pPr>
      <w:r>
        <w:rPr>
          <w:rFonts w:ascii="Arial" w:cs="Arial" w:eastAsia="Arial" w:hAnsi="Arial"/>
          <w:sz w:val="21"/>
          <w:szCs w:val="21"/>
        </w:rPr>
        <w:t xml:space="preserve">Post-sale customer outcomes data, including cancellations, complaints, and claims, by channel.</w:t>
      </w:r>
    </w:p>
    <w:p>
      <w:pPr>
        <w:pStyle w:val="ListParagraph"/>
        <w:numPr>
          <w:ilvl w:val="0"/>
          <w:numId w:val="2"/>
        </w:numPr>
        <w:spacing w:after="100"/>
      </w:pPr>
      <w:r>
        <w:rPr>
          <w:rFonts w:ascii="Arial" w:cs="Arial" w:eastAsia="Arial" w:hAnsi="Arial"/>
          <w:sz w:val="21"/>
          <w:szCs w:val="21"/>
        </w:rPr>
        <w:t xml:space="preserve">Distributor-level quality metrics (e.g., suitability of sales, complaint rates).</w:t>
      </w:r>
    </w:p>
    <w:p>
      <w:pPr>
        <w:pStyle w:val="ListParagraph"/>
        <w:numPr>
          <w:ilvl w:val="0"/>
          <w:numId w:val="2"/>
        </w:numPr>
        <w:spacing w:after="100"/>
      </w:pPr>
      <w:r>
        <w:rPr>
          <w:rFonts w:ascii="Arial" w:cs="Arial" w:eastAsia="Arial" w:hAnsi="Arial"/>
          <w:sz w:val="21"/>
          <w:szCs w:val="21"/>
        </w:rPr>
        <w:t xml:space="preserve">Any instances of sales to customers matching the negative target market profile.</w:t>
      </w:r>
    </w:p>
    <w:p>
      <w:pPr>
        <w:spacing w:after="160" w:line="276"/>
      </w:pPr>
      <w:r>
        <w:rPr>
          <w:rFonts w:ascii="Arial" w:cs="Arial" w:eastAsia="Arial" w:hAnsi="Arial"/>
          <w:b w:val="false"/>
          <w:bCs w:val="false"/>
          <w:i w:val="false"/>
          <w:iCs w:val="false"/>
          <w:sz w:val="21"/>
          <w:szCs w:val="21"/>
        </w:rPr>
        <w:t xml:space="preserve">[Insert reference to the specific MI report or dashboard used, and the frequency and forum at which this is reviewed — see MI Dashboard Specification, CD-M1.]</w:t>
      </w:r>
    </w:p>
    <w:p>
      <w:pPr>
        <w:pStyle w:val="Heading1"/>
        <w:spacing w:after="140" w:before="280"/>
      </w:pPr>
      <w:r>
        <w:t xml:space="preserve">6. Review Triggers</w:t>
      </w:r>
    </w:p>
    <w:p>
      <w:pPr>
        <w:spacing w:after="160" w:line="276"/>
      </w:pPr>
      <w:r>
        <w:rPr>
          <w:rFonts w:ascii="Arial" w:cs="Arial" w:eastAsia="Arial" w:hAnsi="Arial"/>
          <w:b w:val="false"/>
          <w:bCs w:val="false"/>
          <w:i w:val="false"/>
          <w:iCs w:val="false"/>
          <w:sz w:val="21"/>
          <w:szCs w:val="21"/>
        </w:rPr>
        <w:t xml:space="preserve">This distribution strategy will be reviewed:</w:t>
      </w:r>
    </w:p>
    <w:p>
      <w:pPr>
        <w:pStyle w:val="ListParagraph"/>
        <w:numPr>
          <w:ilvl w:val="0"/>
          <w:numId w:val="2"/>
        </w:numPr>
        <w:spacing w:after="100"/>
      </w:pPr>
      <w:r>
        <w:rPr>
          <w:rFonts w:ascii="Arial" w:cs="Arial" w:eastAsia="Arial" w:hAnsi="Arial"/>
          <w:sz w:val="21"/>
          <w:szCs w:val="21"/>
        </w:rPr>
        <w:t xml:space="preserve">On the scheduled annual review date, or as part of the Product Review Template (CD-I1) cycle.</w:t>
      </w:r>
    </w:p>
    <w:p>
      <w:pPr>
        <w:pStyle w:val="ListParagraph"/>
        <w:numPr>
          <w:ilvl w:val="0"/>
          <w:numId w:val="2"/>
        </w:numPr>
        <w:spacing w:after="100"/>
      </w:pPr>
      <w:r>
        <w:rPr>
          <w:rFonts w:ascii="Arial" w:cs="Arial" w:eastAsia="Arial" w:hAnsi="Arial"/>
          <w:sz w:val="21"/>
          <w:szCs w:val="21"/>
        </w:rPr>
        <w:t xml:space="preserve">Where a new distribution channel is proposed.</w:t>
      </w:r>
    </w:p>
    <w:p>
      <w:pPr>
        <w:pStyle w:val="ListParagraph"/>
        <w:numPr>
          <w:ilvl w:val="0"/>
          <w:numId w:val="2"/>
        </w:numPr>
        <w:spacing w:after="100"/>
      </w:pPr>
      <w:r>
        <w:rPr>
          <w:rFonts w:ascii="Arial" w:cs="Arial" w:eastAsia="Arial" w:hAnsi="Arial"/>
          <w:sz w:val="21"/>
          <w:szCs w:val="21"/>
        </w:rPr>
        <w:t xml:space="preserve">Where monitoring data indicates the product is reaching customers outside the target market.</w:t>
      </w:r>
    </w:p>
    <w:p>
      <w:pPr>
        <w:pStyle w:val="ListParagraph"/>
        <w:numPr>
          <w:ilvl w:val="0"/>
          <w:numId w:val="2"/>
        </w:numPr>
        <w:spacing w:after="100"/>
      </w:pPr>
      <w:r>
        <w:rPr>
          <w:rFonts w:ascii="Arial" w:cs="Arial" w:eastAsia="Arial" w:hAnsi="Arial"/>
          <w:sz w:val="21"/>
          <w:szCs w:val="21"/>
        </w:rPr>
        <w:t xml:space="preserve">Following any material regulatory change affecting distribution requirements.</w:t>
      </w:r>
    </w:p>
    <w:p>
      <w:pPr>
        <w:pStyle w:val="Heading1"/>
        <w:spacing w:after="140" w:before="280"/>
      </w:pPr>
      <w:r>
        <w:t xml:space="preserve">7.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p>
      <w:pPr>
        <w:spacing w:after="160" w:line="276"/>
      </w:pPr>
      <w:r>
        <w:rPr>
          <w:rFonts w:ascii="Arial" w:cs="Arial" w:eastAsia="Arial" w:hAnsi="Arial"/>
          <w:b w:val="false"/>
          <w:bCs w:val="false"/>
          <w:i w:val="false"/>
          <w:iCs w:val="false"/>
          <w:sz w:val="21"/>
          <w:szCs w:val="21"/>
        </w:rPr>
        <w:t xml:space="preserve"/>
      </w:r>
    </w:p>
    <w:p>
      <w:pPr>
        <w:spacing w:after="160"/>
      </w:pPr>
      <w:r>
        <w:rPr>
          <w:rFonts w:ascii="Arial" w:cs="Arial" w:eastAsia="Arial" w:hAnsi="Arial"/>
          <w:i/>
          <w:iCs/>
          <w:color w:val="8A8A8A"/>
          <w:sz w:val="21"/>
          <w:szCs w:val="21"/>
        </w:rPr>
        <w:t xml:space="preserve">Note: This document should be read alongside the Target Market Definition Template (CD-I1), Negative Target Market Assessment (CD-I1), and Product Governance Framework (CD-I1).</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2026-08-05T15:53:20.365Z</dcterms:created>
  <dcterms:modified xsi:type="dcterms:W3CDTF">2026-08-05T15:53:20.365Z</dcterms:modified>
</cp:coreProperties>
</file>

<file path=docProps/custom.xml><?xml version="1.0" encoding="utf-8"?>
<Properties xmlns="http://schemas.openxmlformats.org/officeDocument/2006/custom-properties" xmlns:vt="http://schemas.openxmlformats.org/officeDocument/2006/docPropsVTypes"/>
</file>