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Consumer Duty Oversight Committee — Terms of Reference</w:t>
      </w:r>
    </w:p>
    <w:p>
      <w:pPr>
        <w:spacing w:after="200"/>
        <w:jc w:val="center"/>
      </w:pPr>
      <w:r>
        <w:rPr>
          <w:rFonts w:ascii="Arial" w:cs="Arial" w:eastAsia="Arial" w:hAnsi="Arial"/>
          <w:i/>
          <w:iCs/>
          <w:color w:val="2E5C8A"/>
          <w:sz w:val="26"/>
          <w:szCs w:val="26"/>
        </w:rPr>
        <w:t xml:space="preserve">Consumer Duty Implementation — Governance &amp; Programme</w:t>
      </w:r>
    </w:p>
    <w:p>
      <w:pPr>
        <w:spacing w:after="2000"/>
        <w:jc w:val="center"/>
      </w:pPr>
      <w:r>
        <w:rPr>
          <w:rFonts w:ascii="Arial" w:cs="Arial" w:eastAsia="Arial" w:hAnsi="Arial"/>
          <w:color w:val="595959"/>
          <w:sz w:val="22"/>
          <w:szCs w:val="22"/>
        </w:rPr>
        <w:t xml:space="preserve">Reference: CD-P1</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Board approval</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1. Purpose</w:t>
      </w:r>
    </w:p>
    <w:p>
      <w:pPr>
        <w:spacing w:after="160" w:line="276"/>
      </w:pPr>
      <w:r>
        <w:rPr>
          <w:rFonts w:ascii="Arial" w:cs="Arial" w:eastAsia="Arial" w:hAnsi="Arial"/>
          <w:b w:val="false"/>
          <w:bCs w:val="false"/>
          <w:i w:val="false"/>
          <w:iCs w:val="false"/>
          <w:sz w:val="21"/>
          <w:szCs w:val="21"/>
        </w:rPr>
        <w:t xml:space="preserve">The Consumer Duty Oversight Committee ("the Committee") is established by the Board to provide day-to-day oversight of [Insert Company Name]'s implementation of, and ongoing compliance with, the FCA Consumer Duty (PRIN 2A), acting under delegated authority from the Board as set out in the Board Charter for Consumer Duty Oversight (CD-P1).</w:t>
      </w:r>
    </w:p>
    <w:p>
      <w:pPr>
        <w:pStyle w:val="Heading1"/>
        <w:spacing w:after="140" w:before="280"/>
      </w:pPr>
      <w:r>
        <w:t xml:space="preserve">2. Membership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Role</w:t>
            </w:r>
          </w:p>
        </w:tc>
        <w:tc>
          <w:tcPr>
            <w:tcW w:type="dxa" w:w="5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Member</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Chair</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 — e.g., Independent Non-Executive Director]</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Senior Management Function Holder(s)</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Name(s)/Role(s)]</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Head of Compliance</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Head of Risk</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Head of Product</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Head of Customer Operations</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Secretary</w:t>
            </w:r>
          </w:p>
        </w:tc>
        <w:tc>
          <w:tcPr>
            <w:tcW w:type="dxa" w:w="5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 — typically Company Secretariat]</w:t>
            </w:r>
          </w:p>
        </w:tc>
      </w:tr>
    </w:tbl>
    <w:p>
      <w:pPr>
        <w:spacing w:after="160" w:line="276"/>
      </w:pPr>
      <w:r>
        <w:rPr>
          <w:rFonts w:ascii="Arial" w:cs="Arial" w:eastAsia="Arial" w:hAnsi="Arial"/>
          <w:b w:val="false"/>
          <w:bCs w:val="false"/>
          <w:i w:val="false"/>
          <w:iCs w:val="false"/>
          <w:sz w:val="21"/>
          <w:szCs w:val="21"/>
        </w:rPr>
        <w:t xml:space="preserve"/>
      </w:r>
    </w:p>
    <w:p>
      <w:pPr>
        <w:spacing w:after="160" w:line="276"/>
      </w:pPr>
      <w:r>
        <w:rPr>
          <w:rFonts w:ascii="Arial" w:cs="Arial" w:eastAsia="Arial" w:hAnsi="Arial"/>
          <w:b w:val="false"/>
          <w:bCs w:val="false"/>
          <w:i w:val="false"/>
          <w:iCs w:val="false"/>
          <w:sz w:val="21"/>
          <w:szCs w:val="21"/>
        </w:rPr>
        <w:t xml:space="preserve">A quorum shall be [Insert number, e.g. 4] members, including the Chair or their nominated deputy and at least one Senior Management Function holder.</w:t>
      </w:r>
    </w:p>
    <w:p>
      <w:pPr>
        <w:pStyle w:val="Heading1"/>
        <w:spacing w:after="140" w:before="280"/>
      </w:pPr>
      <w:r>
        <w:t xml:space="preserve">3. Responsibilities</w:t>
      </w:r>
    </w:p>
    <w:p>
      <w:pPr>
        <w:spacing w:after="160" w:line="276"/>
      </w:pPr>
      <w:r>
        <w:rPr>
          <w:rFonts w:ascii="Arial" w:cs="Arial" w:eastAsia="Arial" w:hAnsi="Arial"/>
          <w:b w:val="false"/>
          <w:bCs w:val="false"/>
          <w:i w:val="false"/>
          <w:iCs w:val="false"/>
          <w:sz w:val="21"/>
          <w:szCs w:val="21"/>
        </w:rPr>
        <w:t xml:space="preserve">The Committee is responsible for:</w:t>
      </w:r>
    </w:p>
    <w:p>
      <w:pPr>
        <w:pStyle w:val="ListParagraph"/>
        <w:numPr>
          <w:ilvl w:val="0"/>
          <w:numId w:val="2"/>
        </w:numPr>
        <w:spacing w:after="100"/>
      </w:pPr>
      <w:r>
        <w:rPr>
          <w:rFonts w:ascii="Arial" w:cs="Arial" w:eastAsia="Arial" w:hAnsi="Arial"/>
          <w:sz w:val="21"/>
          <w:szCs w:val="21"/>
        </w:rPr>
        <w:t xml:space="preserve">Overseeing the firm's Consumer Duty implementation programme, including progress against the Implementation Roadmap (CD-P3).</w:t>
      </w:r>
    </w:p>
    <w:p>
      <w:pPr>
        <w:pStyle w:val="ListParagraph"/>
        <w:numPr>
          <w:ilvl w:val="0"/>
          <w:numId w:val="2"/>
        </w:numPr>
        <w:spacing w:after="100"/>
      </w:pPr>
      <w:r>
        <w:rPr>
          <w:rFonts w:ascii="Arial" w:cs="Arial" w:eastAsia="Arial" w:hAnsi="Arial"/>
          <w:sz w:val="21"/>
          <w:szCs w:val="21"/>
        </w:rPr>
        <w:t xml:space="preserve">Reviewing and challenging Consumer Duty outcomes management information on a regular basis (see MI Dashboard Specification, CD-M1).</w:t>
      </w:r>
    </w:p>
    <w:p>
      <w:pPr>
        <w:pStyle w:val="ListParagraph"/>
        <w:numPr>
          <w:ilvl w:val="0"/>
          <w:numId w:val="2"/>
        </w:numPr>
        <w:spacing w:after="100"/>
      </w:pPr>
      <w:r>
        <w:rPr>
          <w:rFonts w:ascii="Arial" w:cs="Arial" w:eastAsia="Arial" w:hAnsi="Arial"/>
          <w:sz w:val="21"/>
          <w:szCs w:val="21"/>
        </w:rPr>
        <w:t xml:space="preserve">Reviewing the Gap Analysis Framework (CD-F1) and approving remediation priorities via the Priority Matrix &amp; Action Plan (CD-F3).</w:t>
      </w:r>
    </w:p>
    <w:p>
      <w:pPr>
        <w:pStyle w:val="ListParagraph"/>
        <w:numPr>
          <w:ilvl w:val="0"/>
          <w:numId w:val="2"/>
        </w:numPr>
        <w:spacing w:after="100"/>
      </w:pPr>
      <w:r>
        <w:rPr>
          <w:rFonts w:ascii="Arial" w:cs="Arial" w:eastAsia="Arial" w:hAnsi="Arial"/>
          <w:sz w:val="21"/>
          <w:szCs w:val="21"/>
        </w:rPr>
        <w:t xml:space="preserve">Approving Fair Value Assessments for high-risk products, or receiving assurance that the Fair Value Assessment Framework (CD-I2) has been properly applied.</w:t>
      </w:r>
    </w:p>
    <w:p>
      <w:pPr>
        <w:pStyle w:val="ListParagraph"/>
        <w:numPr>
          <w:ilvl w:val="0"/>
          <w:numId w:val="2"/>
        </w:numPr>
        <w:spacing w:after="100"/>
      </w:pPr>
      <w:r>
        <w:rPr>
          <w:rFonts w:ascii="Arial" w:cs="Arial" w:eastAsia="Arial" w:hAnsi="Arial"/>
          <w:sz w:val="21"/>
          <w:szCs w:val="21"/>
        </w:rPr>
        <w:t xml:space="preserve">Receiving and acting on escalations in accordance with the Escalation Pathway Document (CD-P1).</w:t>
      </w:r>
    </w:p>
    <w:p>
      <w:pPr>
        <w:pStyle w:val="ListParagraph"/>
        <w:numPr>
          <w:ilvl w:val="0"/>
          <w:numId w:val="2"/>
        </w:numPr>
        <w:spacing w:after="100"/>
      </w:pPr>
      <w:r>
        <w:rPr>
          <w:rFonts w:ascii="Arial" w:cs="Arial" w:eastAsia="Arial" w:hAnsi="Arial"/>
          <w:sz w:val="21"/>
          <w:szCs w:val="21"/>
        </w:rPr>
        <w:t xml:space="preserve">Preparing the Annual Consumer Duty Board Report (CD-M3) for Board approval.</w:t>
      </w:r>
    </w:p>
    <w:p>
      <w:pPr>
        <w:pStyle w:val="ListParagraph"/>
        <w:numPr>
          <w:ilvl w:val="0"/>
          <w:numId w:val="2"/>
        </w:numPr>
        <w:spacing w:after="100"/>
      </w:pPr>
      <w:r>
        <w:rPr>
          <w:rFonts w:ascii="Arial" w:cs="Arial" w:eastAsia="Arial" w:hAnsi="Arial"/>
          <w:sz w:val="21"/>
          <w:szCs w:val="21"/>
        </w:rPr>
        <w:t xml:space="preserve">Recommending changes to Consumer Duty governance documents, including this Terms of Reference, RACI Matrix (CD-P1), and Decision Authority Matrix (CD-P1).</w:t>
      </w:r>
    </w:p>
    <w:p>
      <w:pPr>
        <w:pStyle w:val="Heading1"/>
        <w:spacing w:after="140" w:before="280"/>
      </w:pPr>
      <w:r>
        <w:t xml:space="preserve">4. Meeting Frequency</w:t>
      </w:r>
    </w:p>
    <w:p>
      <w:pPr>
        <w:spacing w:after="160" w:line="276"/>
      </w:pPr>
      <w:r>
        <w:rPr>
          <w:rFonts w:ascii="Arial" w:cs="Arial" w:eastAsia="Arial" w:hAnsi="Arial"/>
          <w:b w:val="false"/>
          <w:bCs w:val="false"/>
          <w:i w:val="false"/>
          <w:iCs w:val="false"/>
          <w:sz w:val="21"/>
          <w:szCs w:val="21"/>
        </w:rPr>
        <w:t xml:space="preserve">The Committee shall meet at least [quarterly], with additional meetings convened as required to address urgent escalations under the Escalation Pathway Document (CD-P1). Meetings will follow the Meeting Agenda &amp; Minutes Templates (CD-P1).</w:t>
      </w:r>
    </w:p>
    <w:p>
      <w:pPr>
        <w:pStyle w:val="Heading1"/>
        <w:spacing w:after="140" w:before="280"/>
      </w:pPr>
      <w:r>
        <w:t xml:space="preserve">5. Reporting Lines</w:t>
      </w:r>
    </w:p>
    <w:p>
      <w:pPr>
        <w:spacing w:after="160" w:line="276"/>
      </w:pPr>
      <w:r>
        <w:rPr>
          <w:rFonts w:ascii="Arial" w:cs="Arial" w:eastAsia="Arial" w:hAnsi="Arial"/>
          <w:b w:val="false"/>
          <w:bCs w:val="false"/>
          <w:i w:val="false"/>
          <w:iCs w:val="false"/>
          <w:sz w:val="21"/>
          <w:szCs w:val="21"/>
        </w:rPr>
        <w:t xml:space="preserve">The Committee reports to the Board. A summary of each Committee meeting, together with any escalations or recommendations, will be provided to the Board within [10 business days] of each meeting.</w:t>
      </w:r>
    </w:p>
    <w:p>
      <w:pPr>
        <w:pStyle w:val="Heading1"/>
        <w:spacing w:after="140" w:before="280"/>
      </w:pPr>
      <w:r>
        <w:t xml:space="preserve">6. Authority</w:t>
      </w:r>
    </w:p>
    <w:p>
      <w:pPr>
        <w:spacing w:after="160" w:line="276"/>
      </w:pPr>
      <w:r>
        <w:rPr>
          <w:rFonts w:ascii="Arial" w:cs="Arial" w:eastAsia="Arial" w:hAnsi="Arial"/>
          <w:b w:val="false"/>
          <w:bCs w:val="false"/>
          <w:i w:val="false"/>
          <w:iCs w:val="false"/>
          <w:sz w:val="21"/>
          <w:szCs w:val="21"/>
        </w:rPr>
        <w:t xml:space="preserve">The Committee has the authority to act within the limits set out in the Decision Authority Matrix (CD-P1). Matters exceeding these limits, or requiring Board-level attention, will be escalated in accordance with the Escalation Pathway Document (CD-P1).</w:t>
      </w:r>
    </w:p>
    <w:p>
      <w:pPr>
        <w:pStyle w:val="Heading1"/>
        <w:spacing w:after="140" w:before="280"/>
      </w:pPr>
      <w:r>
        <w:t xml:space="preserve">7. Review of these Terms of Reference</w:t>
      </w:r>
    </w:p>
    <w:p>
      <w:pPr>
        <w:spacing w:after="160" w:line="276"/>
      </w:pPr>
      <w:r>
        <w:rPr>
          <w:rFonts w:ascii="Arial" w:cs="Arial" w:eastAsia="Arial" w:hAnsi="Arial"/>
          <w:b w:val="false"/>
          <w:bCs w:val="false"/>
          <w:i w:val="false"/>
          <w:iCs w:val="false"/>
          <w:sz w:val="21"/>
          <w:szCs w:val="21"/>
        </w:rPr>
        <w:t xml:space="preserve">These Terms of Reference will be reviewed at least annually by the Committee and approved by the Board.</w:t>
      </w:r>
    </w:p>
    <w:p>
      <w:pPr>
        <w:pStyle w:val="Heading1"/>
        <w:spacing w:after="140" w:before="280"/>
      </w:pPr>
      <w:r>
        <w:t xml:space="preserve">8. Related Documents</w:t>
      </w:r>
    </w:p>
    <w:p>
      <w:pPr>
        <w:pStyle w:val="ListParagraph"/>
        <w:numPr>
          <w:ilvl w:val="0"/>
          <w:numId w:val="3"/>
        </w:numPr>
        <w:spacing w:after="100"/>
      </w:pPr>
      <w:r>
        <w:rPr>
          <w:rFonts w:ascii="Arial" w:cs="Arial" w:eastAsia="Arial" w:hAnsi="Arial"/>
          <w:sz w:val="21"/>
          <w:szCs w:val="21"/>
        </w:rPr>
        <w:t xml:space="preserve">Board Charter for Consumer Duty Oversight (CD-P1)</w:t>
      </w:r>
    </w:p>
    <w:p>
      <w:pPr>
        <w:pStyle w:val="ListParagraph"/>
        <w:numPr>
          <w:ilvl w:val="0"/>
          <w:numId w:val="3"/>
        </w:numPr>
        <w:spacing w:after="100"/>
      </w:pPr>
      <w:r>
        <w:rPr>
          <w:rFonts w:ascii="Arial" w:cs="Arial" w:eastAsia="Arial" w:hAnsi="Arial"/>
          <w:sz w:val="21"/>
          <w:szCs w:val="21"/>
        </w:rPr>
        <w:t xml:space="preserve">RACI Matrix Template (CD-P1)</w:t>
      </w:r>
    </w:p>
    <w:p>
      <w:pPr>
        <w:pStyle w:val="ListParagraph"/>
        <w:numPr>
          <w:ilvl w:val="0"/>
          <w:numId w:val="3"/>
        </w:numPr>
        <w:spacing w:after="100"/>
      </w:pPr>
      <w:r>
        <w:rPr>
          <w:rFonts w:ascii="Arial" w:cs="Arial" w:eastAsia="Arial" w:hAnsi="Arial"/>
          <w:sz w:val="21"/>
          <w:szCs w:val="21"/>
        </w:rPr>
        <w:t xml:space="preserve">Decision Authority Matrix (CD-P1)</w:t>
      </w:r>
    </w:p>
    <w:p>
      <w:pPr>
        <w:pStyle w:val="ListParagraph"/>
        <w:numPr>
          <w:ilvl w:val="0"/>
          <w:numId w:val="3"/>
        </w:numPr>
        <w:spacing w:after="100"/>
      </w:pPr>
      <w:r>
        <w:rPr>
          <w:rFonts w:ascii="Arial" w:cs="Arial" w:eastAsia="Arial" w:hAnsi="Arial"/>
          <w:sz w:val="21"/>
          <w:szCs w:val="21"/>
        </w:rPr>
        <w:t xml:space="preserve">Escalation Pathway Document (CD-P1)</w:t>
      </w:r>
    </w:p>
    <w:p>
      <w:pPr>
        <w:pStyle w:val="ListParagraph"/>
        <w:numPr>
          <w:ilvl w:val="0"/>
          <w:numId w:val="3"/>
        </w:numPr>
        <w:spacing w:after="100"/>
      </w:pPr>
      <w:r>
        <w:rPr>
          <w:rFonts w:ascii="Arial" w:cs="Arial" w:eastAsia="Arial" w:hAnsi="Arial"/>
          <w:sz w:val="21"/>
          <w:szCs w:val="21"/>
        </w:rPr>
        <w:t xml:space="preserve">Meeting Agenda &amp; Minutes Templates (CD-P1)</w:t>
      </w:r>
    </w:p>
    <w:p>
      <w:pPr>
        <w:pStyle w:val="ListParagraph"/>
        <w:numPr>
          <w:ilvl w:val="0"/>
          <w:numId w:val="3"/>
        </w:numPr>
        <w:spacing w:after="100"/>
      </w:pPr>
      <w:r>
        <w:rPr>
          <w:rFonts w:ascii="Arial" w:cs="Arial" w:eastAsia="Arial" w:hAnsi="Arial"/>
          <w:sz w:val="21"/>
          <w:szCs w:val="21"/>
        </w:rPr>
        <w:t xml:space="preserve">Annual Board Report Template (CD-M3)</w:t>
      </w:r>
    </w:p>
    <w:p>
      <w:pPr>
        <w:pStyle w:val="Heading1"/>
        <w:spacing w:after="140" w:before="280"/>
      </w:pPr>
      <w:r>
        <w:t xml:space="preserve">9. 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 Board of Directors]</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Approval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2026-08-05T20:40:08.453Z</dcterms:created>
  <dcterms:modified xsi:type="dcterms:W3CDTF">2026-08-05T20:40:08.454Z</dcterms:modified>
</cp:coreProperties>
</file>

<file path=docProps/custom.xml><?xml version="1.0" encoding="utf-8"?>
<Properties xmlns="http://schemas.openxmlformats.org/officeDocument/2006/custom-properties" xmlns:vt="http://schemas.openxmlformats.org/officeDocument/2006/docPropsVTypes"/>
</file>