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Meeting Agenda &amp; Minutes Templates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Governance &amp; Programme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CD-P1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document contains two linked templates for use by the Consumer Duty Oversight Committee and Product Governance Committee: a standard meeting Agenda (Part A) and a standard Minutes template (Part B).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Part A — Meeting Agenda Template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Committee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— e.g., Consumer Duty Oversight Committee]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Call Details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Welcome, apologies, and declarations of interest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 of previous meeting and matters arising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Duty outcomes MI review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Discussion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Analysis Framework and Priority Matrix update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Discussion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Escalations under the Escalation Pathway Document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Fair Value Assessments requiring approval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 Roadmap progress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other business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Discussion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next meeting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Chair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min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A8A8A"/>
          <w:sz w:val="21"/>
          <w:szCs w:val="21"/>
        </w:rPr>
        <w:t xml:space="preserve">Papers to be circulated at least [3 business days] before the meeting.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Part B — Minutes Template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Committee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Chair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Attendees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names]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Apologies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names]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Quorum Confirmed?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[Yes/No]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Discussion Summary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Action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summary of discussion]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decision/action]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summary of discussion]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decision/action]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summary of discussion]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decision/action]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Actions arising from this meeting should be tracked to completion and referenced against the Gap Analysis Framework (CD-F1) or Priority Matrix &amp; Action Plan (CD-F3) where relevant.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Minutes Prepared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Minutes Approved By (Chair)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2026-08-05T20:40:08.894Z</dcterms:created>
  <dcterms:modified xsi:type="dcterms:W3CDTF">2026-08-05T20:40:08.895Z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