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3864"/>
          <w:sz w:val="48"/>
          <w:szCs w:val="48"/>
        </w:rPr>
        <w:t xml:space="preserve">Board Charter for Consumer Duty Oversight</w:t>
      </w:r>
    </w:p>
    <w:p>
      <w:pPr>
        <w:spacing w:after="200"/>
        <w:jc w:val="center"/>
      </w:pPr>
      <w:r>
        <w:rPr>
          <w:rFonts w:ascii="Arial" w:cs="Arial" w:eastAsia="Arial" w:hAnsi="Arial"/>
          <w:i/>
          <w:iCs/>
          <w:color w:val="2E5C8A"/>
          <w:sz w:val="26"/>
          <w:szCs w:val="26"/>
        </w:rPr>
        <w:t xml:space="preserve">Consumer Duty Implementation — Governance &amp; Programme</w:t>
      </w:r>
    </w:p>
    <w:p>
      <w:pPr>
        <w:spacing w:after="2000"/>
        <w:jc w:val="center"/>
      </w:pPr>
      <w:r>
        <w:rPr>
          <w:rFonts w:ascii="Arial" w:cs="Arial" w:eastAsia="Arial" w:hAnsi="Arial"/>
          <w:color w:val="595959"/>
          <w:sz w:val="22"/>
          <w:szCs w:val="22"/>
        </w:rPr>
        <w:t xml:space="preserve">Reference: CD-P1</w:t>
      </w:r>
    </w:p>
    <w:p>
      <w:r>
        <w:br w:type="page"/>
      </w:r>
    </w:p>
    <w:p>
      <w:pPr>
        <w:pStyle w:val="Heading1"/>
        <w:spacing w:after="140" w:before="280"/>
      </w:pPr>
      <w:r>
        <w:t xml:space="preserve">Document Control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Version</w:t>
            </w:r>
          </w:p>
        </w:tc>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Date</w:t>
            </w:r>
          </w:p>
        </w:tc>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Author</w:t>
            </w:r>
          </w:p>
        </w:tc>
        <w:tc>
          <w:tcPr>
            <w:tcW w:type="dxa" w:w="31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Summary of Changes</w:t>
            </w:r>
          </w:p>
        </w:tc>
      </w:tr>
      <w:tr>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1.0</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Author]</w:t>
            </w:r>
          </w:p>
        </w:tc>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Initial draft for Board approval</w:t>
            </w:r>
          </w:p>
        </w:tc>
      </w:tr>
      <w:tr>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60" w:line="276"/>
      </w:pPr>
      <w:r>
        <w:rPr>
          <w:rFonts w:ascii="Arial" w:cs="Arial" w:eastAsia="Arial" w:hAnsi="Arial"/>
          <w:b w:val="false"/>
          <w:bCs w:val="false"/>
          <w:i w:val="false"/>
          <w:iCs w:val="false"/>
          <w:sz w:val="21"/>
          <w:szCs w:val="21"/>
        </w:rP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Document Owner</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Name/Role — e.g., Company Secretary]</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Approving Body</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Board of Directors</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Next Review Date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 — recommended annual review]</w:t>
            </w:r>
          </w:p>
        </w:tc>
      </w:tr>
    </w:tbl>
    <w:p>
      <w:pPr>
        <w:spacing w:after="160" w:line="276"/>
      </w:pPr>
      <w:r>
        <w:rPr>
          <w:rFonts w:ascii="Arial" w:cs="Arial" w:eastAsia="Arial" w:hAnsi="Arial"/>
          <w:b w:val="false"/>
          <w:bCs w:val="false"/>
          <w:i w:val="false"/>
          <w:iCs w:val="false"/>
          <w:sz w:val="21"/>
          <w:szCs w:val="21"/>
        </w:rPr>
        <w:t xml:space="preserve"/>
      </w:r>
    </w:p>
    <w:p>
      <w:pPr>
        <w:pStyle w:val="Heading1"/>
        <w:spacing w:after="140" w:before="280"/>
      </w:pPr>
      <w:r>
        <w:t xml:space="preserve">1. Purpose</w:t>
      </w:r>
    </w:p>
    <w:p>
      <w:pPr>
        <w:spacing w:after="160" w:line="276"/>
      </w:pPr>
      <w:r>
        <w:rPr>
          <w:rFonts w:ascii="Arial" w:cs="Arial" w:eastAsia="Arial" w:hAnsi="Arial"/>
          <w:b w:val="false"/>
          <w:bCs w:val="false"/>
          <w:i w:val="false"/>
          <w:iCs w:val="false"/>
          <w:sz w:val="21"/>
          <w:szCs w:val="21"/>
        </w:rPr>
        <w:t xml:space="preserve">This Charter sets out the Board of [Insert Company Name]'s role and responsibilities in overseeing the firm's compliance with the FCA Consumer Duty (PRIN 2A), and how the Board satisfies itself that the firm is delivering good outcomes for retail customers on an ongoing basis.</w:t>
      </w:r>
    </w:p>
    <w:p>
      <w:pPr>
        <w:pStyle w:val="Heading1"/>
        <w:spacing w:after="140" w:before="280"/>
      </w:pPr>
      <w:r>
        <w:t xml:space="preserve">2. Board Accountability</w:t>
      </w:r>
    </w:p>
    <w:p>
      <w:pPr>
        <w:spacing w:after="160" w:line="276"/>
      </w:pPr>
      <w:r>
        <w:rPr>
          <w:rFonts w:ascii="Arial" w:cs="Arial" w:eastAsia="Arial" w:hAnsi="Arial"/>
          <w:b w:val="false"/>
          <w:bCs w:val="false"/>
          <w:i w:val="false"/>
          <w:iCs w:val="false"/>
          <w:sz w:val="21"/>
          <w:szCs w:val="21"/>
        </w:rPr>
        <w:t xml:space="preserve">The Board retains ultimate accountability for the firm's compliance with the Consumer Duty. This accountability cannot be delegated, although day-to-day oversight is delegated to the Consumer Duty Oversight Committee (see Terms of Reference, CD-P1) and execution is delegated through the governance structure set out in the Product Governance Framework (CD-I1).</w:t>
      </w:r>
    </w:p>
    <w:p>
      <w:pPr>
        <w:spacing w:after="160" w:line="276"/>
      </w:pPr>
      <w:r>
        <w:rPr>
          <w:rFonts w:ascii="Arial" w:cs="Arial" w:eastAsia="Arial" w:hAnsi="Arial"/>
          <w:b w:val="false"/>
          <w:bCs w:val="false"/>
          <w:i w:val="false"/>
          <w:iCs w:val="false"/>
          <w:sz w:val="21"/>
          <w:szCs w:val="21"/>
        </w:rPr>
        <w:t xml:space="preserve">The Board will:</w:t>
      </w:r>
    </w:p>
    <w:p>
      <w:pPr>
        <w:pStyle w:val="ListParagraph"/>
        <w:numPr>
          <w:ilvl w:val="0"/>
          <w:numId w:val="2"/>
        </w:numPr>
        <w:spacing w:after="100"/>
      </w:pPr>
      <w:r>
        <w:rPr>
          <w:rFonts w:ascii="Arial" w:cs="Arial" w:eastAsia="Arial" w:hAnsi="Arial"/>
          <w:sz w:val="21"/>
          <w:szCs w:val="21"/>
        </w:rPr>
        <w:t xml:space="preserve">Approve the firm's Consumer Duty strategy and this Charter, reviewing both at least annually.</w:t>
      </w:r>
    </w:p>
    <w:p>
      <w:pPr>
        <w:pStyle w:val="ListParagraph"/>
        <w:numPr>
          <w:ilvl w:val="0"/>
          <w:numId w:val="2"/>
        </w:numPr>
        <w:spacing w:after="100"/>
      </w:pPr>
      <w:r>
        <w:rPr>
          <w:rFonts w:ascii="Arial" w:cs="Arial" w:eastAsia="Arial" w:hAnsi="Arial"/>
          <w:sz w:val="21"/>
          <w:szCs w:val="21"/>
        </w:rPr>
        <w:t xml:space="preserve">Receive and challenge the Annual Consumer Duty Board Report (see Annual Board Report Template, CD-M3).</w:t>
      </w:r>
    </w:p>
    <w:p>
      <w:pPr>
        <w:pStyle w:val="ListParagraph"/>
        <w:numPr>
          <w:ilvl w:val="0"/>
          <w:numId w:val="2"/>
        </w:numPr>
        <w:spacing w:after="100"/>
      </w:pPr>
      <w:r>
        <w:rPr>
          <w:rFonts w:ascii="Arial" w:cs="Arial" w:eastAsia="Arial" w:hAnsi="Arial"/>
          <w:sz w:val="21"/>
          <w:szCs w:val="21"/>
        </w:rPr>
        <w:t xml:space="preserve">Satisfy itself that the firm has effective governance, systems, and controls to deliver the Duty.</w:t>
      </w:r>
    </w:p>
    <w:p>
      <w:pPr>
        <w:pStyle w:val="ListParagraph"/>
        <w:numPr>
          <w:ilvl w:val="0"/>
          <w:numId w:val="2"/>
        </w:numPr>
        <w:spacing w:after="100"/>
      </w:pPr>
      <w:r>
        <w:rPr>
          <w:rFonts w:ascii="Arial" w:cs="Arial" w:eastAsia="Arial" w:hAnsi="Arial"/>
          <w:sz w:val="21"/>
          <w:szCs w:val="21"/>
        </w:rPr>
        <w:t xml:space="preserve">Ensure adequate resourcing is allocated to Consumer Duty implementation and ongoing compliance.</w:t>
      </w:r>
    </w:p>
    <w:p>
      <w:pPr>
        <w:pStyle w:val="ListParagraph"/>
        <w:numPr>
          <w:ilvl w:val="0"/>
          <w:numId w:val="2"/>
        </w:numPr>
        <w:spacing w:after="100"/>
      </w:pPr>
      <w:r>
        <w:rPr>
          <w:rFonts w:ascii="Arial" w:cs="Arial" w:eastAsia="Arial" w:hAnsi="Arial"/>
          <w:sz w:val="21"/>
          <w:szCs w:val="21"/>
        </w:rPr>
        <w:t xml:space="preserve">Hold Senior Management Function (SMF) holders to account for their Consumer Duty responsibilities (see SMF Responsibility Statement Template, CD-P1).</w:t>
      </w:r>
    </w:p>
    <w:p>
      <w:pPr>
        <w:pStyle w:val="Heading1"/>
        <w:spacing w:after="140" w:before="280"/>
      </w:pPr>
      <w:r>
        <w:t xml:space="preserve">3. Delegation</w:t>
      </w:r>
    </w:p>
    <w:p>
      <w:pPr>
        <w:spacing w:after="160" w:line="276"/>
      </w:pPr>
      <w:r>
        <w:rPr>
          <w:rFonts w:ascii="Arial" w:cs="Arial" w:eastAsia="Arial" w:hAnsi="Arial"/>
          <w:b w:val="false"/>
          <w:bCs w:val="false"/>
          <w:i w:val="false"/>
          <w:iCs w:val="false"/>
          <w:sz w:val="21"/>
          <w:szCs w:val="21"/>
        </w:rPr>
        <w:t xml:space="preserve">The Board delegates day-to-day oversight of Consumer Duty implementation and monitoring to the Consumer Duty Oversight Committee, in accordance with its Terms of Reference (CD-P1). The Board retains the right to escalate, review, or overturn any decision made under delegated authority, particularly where the Decision Authority Matrix (CD-P1) identifies the Board as the ultimate escalation point.</w:t>
      </w:r>
    </w:p>
    <w:p>
      <w:pPr>
        <w:pStyle w:val="Heading1"/>
        <w:spacing w:after="140" w:before="280"/>
      </w:pPr>
      <w:r>
        <w:t xml:space="preserve">4. Annual Attestation</w:t>
      </w:r>
    </w:p>
    <w:p>
      <w:pPr>
        <w:spacing w:after="160" w:line="276"/>
      </w:pPr>
      <w:r>
        <w:rPr>
          <w:rFonts w:ascii="Arial" w:cs="Arial" w:eastAsia="Arial" w:hAnsi="Arial"/>
          <w:b w:val="false"/>
          <w:bCs w:val="false"/>
          <w:i w:val="false"/>
          <w:iCs w:val="false"/>
          <w:sz w:val="21"/>
          <w:szCs w:val="21"/>
        </w:rPr>
        <w:t xml:space="preserve">At least annually, the Board will review and approve a report that:</w:t>
      </w:r>
    </w:p>
    <w:p>
      <w:pPr>
        <w:pStyle w:val="ListParagraph"/>
        <w:numPr>
          <w:ilvl w:val="0"/>
          <w:numId w:val="3"/>
        </w:numPr>
        <w:spacing w:after="100"/>
      </w:pPr>
      <w:r>
        <w:rPr>
          <w:rFonts w:ascii="Arial" w:cs="Arial" w:eastAsia="Arial" w:hAnsi="Arial"/>
          <w:sz w:val="21"/>
          <w:szCs w:val="21"/>
        </w:rPr>
        <w:t xml:space="preserve">Sets out the firm's assessment of whether it is delivering good outcomes for retail customers across all four Outcomes.</w:t>
      </w:r>
    </w:p>
    <w:p>
      <w:pPr>
        <w:pStyle w:val="ListParagraph"/>
        <w:numPr>
          <w:ilvl w:val="0"/>
          <w:numId w:val="3"/>
        </w:numPr>
        <w:spacing w:after="100"/>
      </w:pPr>
      <w:r>
        <w:rPr>
          <w:rFonts w:ascii="Arial" w:cs="Arial" w:eastAsia="Arial" w:hAnsi="Arial"/>
          <w:sz w:val="21"/>
          <w:szCs w:val="21"/>
        </w:rPr>
        <w:t xml:space="preserve">Identifies any evidence of poor outcomes and the actions taken or planned to address them.</w:t>
      </w:r>
    </w:p>
    <w:p>
      <w:pPr>
        <w:pStyle w:val="ListParagraph"/>
        <w:numPr>
          <w:ilvl w:val="0"/>
          <w:numId w:val="3"/>
        </w:numPr>
        <w:spacing w:after="100"/>
      </w:pPr>
      <w:r>
        <w:rPr>
          <w:rFonts w:ascii="Arial" w:cs="Arial" w:eastAsia="Arial" w:hAnsi="Arial"/>
          <w:sz w:val="21"/>
          <w:szCs w:val="21"/>
        </w:rPr>
        <w:t xml:space="preserve">Confirms whether the firm's future business strategy remains consistent with the Consumer Duty.</w:t>
      </w:r>
    </w:p>
    <w:p>
      <w:pPr>
        <w:pStyle w:val="ListParagraph"/>
        <w:numPr>
          <w:ilvl w:val="0"/>
          <w:numId w:val="3"/>
        </w:numPr>
        <w:spacing w:after="100"/>
      </w:pPr>
      <w:r>
        <w:rPr>
          <w:rFonts w:ascii="Arial" w:cs="Arial" w:eastAsia="Arial" w:hAnsi="Arial"/>
          <w:sz w:val="21"/>
          <w:szCs w:val="21"/>
        </w:rPr>
        <w:t xml:space="preserve">Is approved by the Board before submission to, or availability for, the FCA.</w:t>
      </w:r>
    </w:p>
    <w:p>
      <w:pPr>
        <w:pStyle w:val="Heading1"/>
        <w:spacing w:after="140" w:before="280"/>
      </w:pPr>
      <w:r>
        <w:t xml:space="preserve">5. Information the Board Will Receive</w:t>
      </w:r>
    </w:p>
    <w:p>
      <w:pPr>
        <w:spacing w:after="160" w:line="276"/>
      </w:pPr>
      <w:r>
        <w:rPr>
          <w:rFonts w:ascii="Arial" w:cs="Arial" w:eastAsia="Arial" w:hAnsi="Arial"/>
          <w:b w:val="false"/>
          <w:bCs w:val="false"/>
          <w:i w:val="false"/>
          <w:iCs w:val="false"/>
          <w:sz w:val="21"/>
          <w:szCs w:val="21"/>
        </w:rPr>
        <w:t xml:space="preserve">To discharge its oversight responsibilities, the Board will receive, at a frequency determined by the Consumer Duty Oversight Committee (at least quarterly):</w:t>
      </w:r>
    </w:p>
    <w:p>
      <w:pPr>
        <w:pStyle w:val="ListParagraph"/>
        <w:numPr>
          <w:ilvl w:val="0"/>
          <w:numId w:val="2"/>
        </w:numPr>
        <w:spacing w:after="100"/>
      </w:pPr>
      <w:r>
        <w:rPr>
          <w:rFonts w:ascii="Arial" w:cs="Arial" w:eastAsia="Arial" w:hAnsi="Arial"/>
          <w:sz w:val="21"/>
          <w:szCs w:val="21"/>
        </w:rPr>
        <w:t xml:space="preserve">A summary of Consumer Duty outcomes MI, including trends and areas of concern (see MI Dashboard Specification, CD-M1).</w:t>
      </w:r>
    </w:p>
    <w:p>
      <w:pPr>
        <w:pStyle w:val="ListParagraph"/>
        <w:numPr>
          <w:ilvl w:val="0"/>
          <w:numId w:val="2"/>
        </w:numPr>
        <w:spacing w:after="100"/>
      </w:pPr>
      <w:r>
        <w:rPr>
          <w:rFonts w:ascii="Arial" w:cs="Arial" w:eastAsia="Arial" w:hAnsi="Arial"/>
          <w:sz w:val="21"/>
          <w:szCs w:val="21"/>
        </w:rPr>
        <w:t xml:space="preserve">An update on the status of the Gap Analysis Framework (CD-F1) and Priority Matrix &amp; Action Plan (CD-F3).</w:t>
      </w:r>
    </w:p>
    <w:p>
      <w:pPr>
        <w:pStyle w:val="ListParagraph"/>
        <w:numPr>
          <w:ilvl w:val="0"/>
          <w:numId w:val="2"/>
        </w:numPr>
        <w:spacing w:after="100"/>
      </w:pPr>
      <w:r>
        <w:rPr>
          <w:rFonts w:ascii="Arial" w:cs="Arial" w:eastAsia="Arial" w:hAnsi="Arial"/>
          <w:sz w:val="21"/>
          <w:szCs w:val="21"/>
        </w:rPr>
        <w:t xml:space="preserve">Escalations arising under the Escalation Pathway Document (CD-P1).</w:t>
      </w:r>
    </w:p>
    <w:p>
      <w:pPr>
        <w:pStyle w:val="ListParagraph"/>
        <w:numPr>
          <w:ilvl w:val="0"/>
          <w:numId w:val="2"/>
        </w:numPr>
        <w:spacing w:after="100"/>
      </w:pPr>
      <w:r>
        <w:rPr>
          <w:rFonts w:ascii="Arial" w:cs="Arial" w:eastAsia="Arial" w:hAnsi="Arial"/>
          <w:sz w:val="21"/>
          <w:szCs w:val="21"/>
        </w:rPr>
        <w:t xml:space="preserve">A summary of any regulatory correspondence or supervisory activity relating to Consumer Duty.</w:t>
      </w:r>
    </w:p>
    <w:p>
      <w:pPr>
        <w:pStyle w:val="Heading1"/>
        <w:spacing w:after="140" w:before="280"/>
      </w:pPr>
      <w:r>
        <w:t xml:space="preserve">6. Review of this Charter</w:t>
      </w:r>
    </w:p>
    <w:p>
      <w:pPr>
        <w:spacing w:after="160" w:line="276"/>
      </w:pPr>
      <w:r>
        <w:rPr>
          <w:rFonts w:ascii="Arial" w:cs="Arial" w:eastAsia="Arial" w:hAnsi="Arial"/>
          <w:b w:val="false"/>
          <w:bCs w:val="false"/>
          <w:i w:val="false"/>
          <w:iCs w:val="false"/>
          <w:sz w:val="21"/>
          <w:szCs w:val="21"/>
        </w:rPr>
        <w:t xml:space="preserve">This Charter will be reviewed at least annually by the Consumer Duty Oversight Committee and approved by the Board, and following any material change to the firm's governance structure or the FCA's Consumer Duty requirements.</w:t>
      </w:r>
    </w:p>
    <w:p>
      <w:pPr>
        <w:pStyle w:val="Heading1"/>
        <w:spacing w:after="140" w:before="280"/>
      </w:pPr>
      <w:r>
        <w:t xml:space="preserve">7. Related Documents</w:t>
      </w:r>
    </w:p>
    <w:p>
      <w:pPr>
        <w:pStyle w:val="ListParagraph"/>
        <w:numPr>
          <w:ilvl w:val="0"/>
          <w:numId w:val="2"/>
        </w:numPr>
        <w:spacing w:after="100"/>
      </w:pPr>
      <w:r>
        <w:rPr>
          <w:rFonts w:ascii="Arial" w:cs="Arial" w:eastAsia="Arial" w:hAnsi="Arial"/>
          <w:sz w:val="21"/>
          <w:szCs w:val="21"/>
        </w:rPr>
        <w:t xml:space="preserve">Consumer Duty Oversight Committee Terms of Reference (CD-P1)</w:t>
      </w:r>
    </w:p>
    <w:p>
      <w:pPr>
        <w:pStyle w:val="ListParagraph"/>
        <w:numPr>
          <w:ilvl w:val="0"/>
          <w:numId w:val="2"/>
        </w:numPr>
        <w:spacing w:after="100"/>
      </w:pPr>
      <w:r>
        <w:rPr>
          <w:rFonts w:ascii="Arial" w:cs="Arial" w:eastAsia="Arial" w:hAnsi="Arial"/>
          <w:sz w:val="21"/>
          <w:szCs w:val="21"/>
        </w:rPr>
        <w:t xml:space="preserve">RACI Matrix Template (CD-P1)</w:t>
      </w:r>
    </w:p>
    <w:p>
      <w:pPr>
        <w:pStyle w:val="ListParagraph"/>
        <w:numPr>
          <w:ilvl w:val="0"/>
          <w:numId w:val="2"/>
        </w:numPr>
        <w:spacing w:after="100"/>
      </w:pPr>
      <w:r>
        <w:rPr>
          <w:rFonts w:ascii="Arial" w:cs="Arial" w:eastAsia="Arial" w:hAnsi="Arial"/>
          <w:sz w:val="21"/>
          <w:szCs w:val="21"/>
        </w:rPr>
        <w:t xml:space="preserve">Decision Authority Matrix (CD-P1)</w:t>
      </w:r>
    </w:p>
    <w:p>
      <w:pPr>
        <w:pStyle w:val="ListParagraph"/>
        <w:numPr>
          <w:ilvl w:val="0"/>
          <w:numId w:val="2"/>
        </w:numPr>
        <w:spacing w:after="100"/>
      </w:pPr>
      <w:r>
        <w:rPr>
          <w:rFonts w:ascii="Arial" w:cs="Arial" w:eastAsia="Arial" w:hAnsi="Arial"/>
          <w:sz w:val="21"/>
          <w:szCs w:val="21"/>
        </w:rPr>
        <w:t xml:space="preserve">Escalation Pathway Document (CD-P1)</w:t>
      </w:r>
    </w:p>
    <w:p>
      <w:pPr>
        <w:pStyle w:val="ListParagraph"/>
        <w:numPr>
          <w:ilvl w:val="0"/>
          <w:numId w:val="2"/>
        </w:numPr>
        <w:spacing w:after="100"/>
      </w:pPr>
      <w:r>
        <w:rPr>
          <w:rFonts w:ascii="Arial" w:cs="Arial" w:eastAsia="Arial" w:hAnsi="Arial"/>
          <w:sz w:val="21"/>
          <w:szCs w:val="21"/>
        </w:rPr>
        <w:t xml:space="preserve">SMF Responsibility Statement Template (CD-P1)</w:t>
      </w:r>
    </w:p>
    <w:p>
      <w:pPr>
        <w:pStyle w:val="ListParagraph"/>
        <w:numPr>
          <w:ilvl w:val="0"/>
          <w:numId w:val="2"/>
        </w:numPr>
        <w:spacing w:after="100"/>
      </w:pPr>
      <w:r>
        <w:rPr>
          <w:rFonts w:ascii="Arial" w:cs="Arial" w:eastAsia="Arial" w:hAnsi="Arial"/>
          <w:sz w:val="21"/>
          <w:szCs w:val="21"/>
        </w:rPr>
        <w:t xml:space="preserve">Annual Board Report Template (CD-M3)</w:t>
      </w:r>
    </w:p>
    <w:p>
      <w:pPr>
        <w:pStyle w:val="Heading1"/>
        <w:spacing w:after="140" w:before="280"/>
      </w:pPr>
      <w:r>
        <w:t xml:space="preserve">8. Approval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Approved By</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 Board of Directors, Chair Name]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Approval Date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Next Review Date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w:t>
            </w:r>
          </w:p>
        </w:tc>
      </w:tr>
    </w:tbl>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CONFIDENTIAL — Internal Use Only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p>
    <w:pPr>
      <w:jc w:val="center"/>
    </w:pPr>
    <w:r>
      <w:rPr>
        <w:rFonts w:ascii="Arial" w:cs="Arial" w:eastAsia="Arial" w:hAnsi="Arial"/>
        <w:color w:val="808080"/>
        <w:sz w:val="16"/>
        <w:szCs w:val="16"/>
      </w:rPr>
      <w:t xml:space="preserve">© 2026 xPercept.ai. Copyright and confidential. Do not distribute.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2026-08-05T20:40:08.286Z</dcterms:created>
  <dcterms:modified xsi:type="dcterms:W3CDTF">2026-08-05T20:40:08.287Z</dcterms:modified>
</cp:coreProperties>
</file>

<file path=docProps/custom.xml><?xml version="1.0" encoding="utf-8"?>
<Properties xmlns="http://schemas.openxmlformats.org/officeDocument/2006/custom-properties" xmlns:vt="http://schemas.openxmlformats.org/officeDocument/2006/docPropsVTypes"/>
</file>