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Consumer Outcomes KPI Framework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Monitoring &amp; Management Information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CD-M1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Data &amp; MI]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framework defines the key performance indicators (KPIs) [Insert Company Name] uses to monitor whether it is delivering good outcomes for retail customers across the four Consumer Duty Outcomes, per PRIN 2A.9.4R. It draws on the Leading &amp; Lagging Indicators Library (CD-M1) and feeds the MI Dashboard Specification (CD-M1).</w:t>
      </w:r>
    </w:p>
    <w:p>
      <w:pPr>
        <w:pStyle w:val="Heading1"/>
        <w:spacing w:after="140" w:before="280"/>
      </w:pPr>
      <w:r>
        <w:t xml:space="preserve">2. KPIs by Outcome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and Services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products with an in-date target market definition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and Services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products reviewed within their scheduled cycle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and Value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Fair Value Assessments completed within schedule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and Value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Unjustified differential pricing instances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Understanding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comprehension test pass rate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Support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satisfaction (CSAT) score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4.0 / 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Support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customer complaint share vs population share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or below population share</w:t>
            </w:r>
          </w:p>
        </w:tc>
      </w:tr>
    </w:tbl>
    <w:p>
      <w:pPr>
        <w:pStyle w:val="Heading1"/>
        <w:spacing w:after="140" w:before="280"/>
      </w:pPr>
      <w:r>
        <w:t xml:space="preserve">3. KPI Governance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Each KPI has an assigned owner responsible for data accuracy and commentary.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KPIs are reported monthly via the MI Dashboard Specification (CD-M1) and Executive Dashboard (CD-M1).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RAG status for each KPI is determined using the Threshold &amp; Trigger Matrix (CD-M1).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KPIs breaching Red thresholds are escalated per the Escalation Pathway Document (CD-P1).</w:t>
      </w:r>
    </w:p>
    <w:p>
      <w:pPr>
        <w:pStyle w:val="Heading1"/>
        <w:spacing w:after="140" w:before="280"/>
      </w:pPr>
      <w:r>
        <w:t xml:space="preserve">4. Review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KPI set is reviewed at least annually by the Consumer Duty Oversight Committee to confirm it remains a relevant and sufficient measure of customer outcomes, and updated to reflect new products, emerging risks, or regulatory expectations.</w:t>
      </w:r>
    </w:p>
    <w:p>
      <w:pPr>
        <w:pStyle w:val="Heading1"/>
        <w:spacing w:after="140" w:before="280"/>
      </w:pPr>
      <w:r>
        <w:t xml:space="preserve">5. Related Documents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Leading &amp; Lagging Indicators Library (CD-M1)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Threshold &amp; Trigger Matrix (CD-M1)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MI Dashboard Specification (CD-M1)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Executive Dashboard (CD-M1)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2026-08-05T20:58:30.588Z</dcterms:created>
  <dcterms:modified xsi:type="dcterms:W3CDTF">2026-08-05T20:58:30.588Z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