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Communication Testing Protocol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Consumer Understanding Outcome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CD-I3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Head of Customer Communications]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Governance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protocol sets out how [Insert Company Name] tests customer communications before use, to confirm they support customer understanding, in line with PRIN 2A.5 (the Consumer Understanding Outcome).</w:t>
      </w:r>
    </w:p>
    <w:p>
      <w:pPr>
        <w:pStyle w:val="Heading1"/>
        <w:spacing w:after="140" w:before="280"/>
      </w:pPr>
      <w:r>
        <w:t xml:space="preserve">2. Scope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protocol applies to all customer-facing communications that are key to a customer's decision-making, including key features documents, pre-contract disclosures, marketing material, and communications about a customer's rights or options (e.g., cancellation, complaints).</w:t>
      </w:r>
    </w:p>
    <w:p>
      <w:pPr>
        <w:pStyle w:val="Heading1"/>
        <w:spacing w:after="140" w:before="280"/>
      </w:pPr>
      <w:r>
        <w:t xml:space="preserve">3. Testing Methods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Plain language review against the Plain Language Checklist (CD-I3).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Readability scoring using the Readability Assessment Framework (CD-I3).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Direct comprehension testing using the Customer Comprehension Survey (CD-I3).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Behavioural testing where design choices could materially affect decision-making (see Behavioural Testing Methodology, CD-I3).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A/B testing of alternative versions where appropriate (see A/B Testing Results Template, CD-I3).</w:t>
      </w:r>
    </w:p>
    <w:p>
      <w:pPr>
        <w:pStyle w:val="Heading1"/>
        <w:spacing w:after="140" w:before="280"/>
      </w:pPr>
      <w:r>
        <w:t xml:space="preserve">4. When Testing is Required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 Risk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Required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key features, pre-contract disclosures, risk warnings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testing: plain language review, readability, and direct comprehension testing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general marketing, ongoing servicing communications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 language review and readability scoring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routine transactional confirmations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 language review only</w:t>
            </w:r>
          </w:p>
        </w:tc>
      </w:tr>
    </w:tbl>
    <w:p>
      <w:pPr>
        <w:pStyle w:val="Heading1"/>
        <w:spacing w:after="140" w:before="280"/>
      </w:pPr>
      <w:r>
        <w:t xml:space="preserve">5. Pass Threshold and Remediation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 communication must achieve at least an 80% comprehension pass rate (see Customer Comprehension Survey, CD-I3) before use. Communications that do not meet this threshold must be redrafted and retested; they may not be used in the interim without an approved risk acceptance from the Product Governance Committee.</w:t>
      </w:r>
    </w:p>
    <w:p>
      <w:pPr>
        <w:pStyle w:val="Heading1"/>
        <w:spacing w:after="140" w:before="280"/>
      </w:pPr>
      <w:r>
        <w:t xml:space="preserve">6. Governance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Testing results must be retained as evidence in the Evidence Log &amp; Repository (CD-I7) and referenced in the relevant Product Approval Checklist (CD-I1).</w:t>
      </w:r>
    </w:p>
    <w:p>
      <w:pPr>
        <w:pStyle w:val="Heading1"/>
        <w:spacing w:after="140" w:before="280"/>
      </w:pPr>
      <w:r>
        <w:t xml:space="preserve">7. Related Documents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Plain Language Checklist (CD-I3)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Readability Assessment Framework (CD-I3)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Behavioural Testing Methodology (CD-I3)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Customer Comprehension Survey (CD-I3)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A/B Testing Results Template (CD-I3)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Marketing Review Checklist (CD-I3)</w:t>
      </w:r>
    </w:p>
    <w:p>
      <w:pPr>
        <w:pStyle w:val="Heading1"/>
        <w:spacing w:after="140" w:before="280"/>
      </w:pPr>
      <w:r>
        <w:t xml:space="preserve">8.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2026-08-05T20:51:37.230Z</dcterms:created>
  <dcterms:modified xsi:type="dcterms:W3CDTF">2026-08-05T20:51:37.248Z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