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Annual Consumer Duty Board Report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2E5C8A"/>
          <w:sz w:val="26"/>
          <w:szCs w:val="26"/>
        </w:rPr>
        <w:t xml:space="preserve">Consumer Duty Implementation — Monitoring &amp; Board Reporting</w:t>
      </w:r>
    </w:p>
    <w:p>
      <w:pPr>
        <w:spacing w:after="20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Reference: CD-M3</w:t>
      </w:r>
    </w:p>
    <w:p>
      <w:r>
        <w:br w:type="page"/>
      </w:r>
    </w:p>
    <w:p>
      <w:pPr>
        <w:pStyle w:val="Heading1"/>
        <w:spacing w:after="140" w:before="280"/>
      </w:pPr>
      <w:r>
        <w:t xml:space="preserve">Document Control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Author]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draft for review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Name/Role — e.g., Head of Compliance]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Approving Body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Board of Directors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 — recommended annual review]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1"/>
        <w:spacing w:after="140" w:before="280"/>
      </w:pPr>
      <w:r>
        <w:t xml:space="preserve">1. Purpose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This report is prepared at least annually for the Board of [Insert Company Name], setting out the firm's assessment of whether it is delivering good outcomes for retail customers under the FCA Consumer Duty (PRIN 2A.9.11R), for Board review, challenge, and formal approval.</w:t>
      </w:r>
    </w:p>
    <w:p>
      <w:pPr>
        <w:pStyle w:val="Heading1"/>
        <w:spacing w:after="140" w:before="280"/>
      </w:pPr>
      <w:r>
        <w:t xml:space="preserve">2. Reporting Period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Reporting Period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— e.g., 1 January 2026 to 31 December 2026]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Report Prepared By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Name/Role]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Presented to Board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Date]</w:t>
            </w:r>
          </w:p>
        </w:tc>
      </w:tr>
    </w:tbl>
    <w:p>
      <w:pPr>
        <w:pStyle w:val="Heading1"/>
        <w:spacing w:after="140" w:before="280"/>
      </w:pPr>
      <w:r>
        <w:t xml:space="preserve">3. Executive Summary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[Insert a concise overview (3-5 sentences) of the firm's overall Consumer Duty performance this period: headline outcome RAG status, key achievements, and the most significant risks or issues identified. Draw this from the Executive Dashboard (CD-M1).]</w:t>
      </w:r>
    </w:p>
    <w:p>
      <w:pPr>
        <w:pStyle w:val="Heading1"/>
        <w:spacing w:after="140" w:before="280"/>
      </w:pPr>
      <w:r>
        <w:t xml:space="preserve">4. Assessment by Outcome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RAG</w:t>
            </w:r>
          </w:p>
        </w:tc>
        <w:tc>
          <w:tcPr>
            <w:tcW w:type="dxa" w:w="5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Evidence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Products and Services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[Insert]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summary — target market coverage, product review completion, closed book review status]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 and Value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[Insert]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summary — FVA schedule adherence, benchmarking findings, differential pricing review]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Consumer Understanding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[Insert]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summary — comprehension testing results, communication review outcomes]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Consumer Support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[Insert]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summary — complaint themes, CSAT trend, sludge audit findings]</w:t>
            </w:r>
          </w:p>
        </w:tc>
      </w:tr>
    </w:tbl>
    <w:p>
      <w:pPr>
        <w:pStyle w:val="Heading1"/>
        <w:spacing w:after="140" w:before="280"/>
      </w:pPr>
      <w:r>
        <w:t xml:space="preserve">5. Vulnerable Customers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[Insert summary of vulnerable customer outcomes drawn from the Quarterly Review Template (CD-I5) — identification rates, outcomes vs the general customer population, and any actions taken.]</w:t>
      </w:r>
    </w:p>
    <w:p>
      <w:pPr>
        <w:pStyle w:val="Heading1"/>
        <w:spacing w:after="140" w:before="280"/>
      </w:pPr>
      <w:r>
        <w:t xml:space="preserve">6. Evidence of Poor Outcomes and Remediation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[Insert any instances where the firm identified it was not delivering good customer outcomes during the period, the root cause (see Root Cause Analysis Template, CD-I4), and the remediation action taken or planned. If none were identified, state this explicitly together with the assurance basis for that conclusion.]</w:t>
      </w:r>
    </w:p>
    <w:p>
      <w:pPr>
        <w:pStyle w:val="Heading1"/>
        <w:spacing w:after="140" w:before="280"/>
      </w:pPr>
      <w:r>
        <w:t xml:space="preserve">7. Business Strategy Alignment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[Insert the Board's assessment of whether the firm's future business strategy remains consistent with the Consumer Duty, including any strategic decisions this period that were influenced by Consumer Duty considerations.]</w:t>
      </w:r>
    </w:p>
    <w:p>
      <w:pPr>
        <w:pStyle w:val="Heading1"/>
        <w:spacing w:after="140" w:before="280"/>
      </w:pPr>
      <w:r>
        <w:t xml:space="preserve">8. Actions for the Coming Period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priority action from the Priority Matrix &amp; Action Plan, CD-F3]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[Insert]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[Insert]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priority action]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[Insert]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[Insert]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priority action]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[Insert]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[Insert]</w:t>
            </w:r>
          </w:p>
        </w:tc>
      </w:tr>
    </w:tbl>
    <w:p>
      <w:pPr>
        <w:pStyle w:val="Heading1"/>
        <w:spacing w:after="140" w:before="280"/>
      </w:pPr>
      <w:r>
        <w:t xml:space="preserve">9. Board Attestation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Having reviewed this report, the Board confirms it has considered whether [Insert Company Name] is delivering good outcomes for retail customers consistent with the Consumer Duty, and [is satisfied / has identified the following concerns — insert].</w:t>
      </w:r>
    </w:p>
    <w:p>
      <w:pPr>
        <w:pStyle w:val="Heading1"/>
        <w:spacing w:after="140" w:before="280"/>
      </w:pPr>
      <w:r>
        <w:t xml:space="preserve">10. Approval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— Board of Directors, Chair Name]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Approval Date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Next Report Due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Date]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8A8A8A"/>
          <w:sz w:val="21"/>
          <w:szCs w:val="21"/>
        </w:rPr>
        <w:t xml:space="preserve">This report should be read alongside the Board Reporting Pack (CD-M3), which provides the supporting data and charts referenced throughout.</w:t>
      </w:r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CONFIDENTIAL — Internal Use Only   |   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of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© 2026 xPercept.ai. Copyright and confidential. Do not distribute.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2026-08-05T21:04:37.844Z</dcterms:created>
  <dcterms:modified xsi:type="dcterms:W3CDTF">2026-08-05T21:04:37.855Z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