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Competency Assessment Framework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Training &amp; Competency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CD-T1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 — e.g., Head of Learning &amp; Development]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Duty Oversight Committee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framework defines how [Insert Company Name] assesses whether staff are genuinely competent to deliver Consumer Duty obligations in their role — going beyond training completion to confirm knowledge is applied effectively in practice.</w:t>
      </w:r>
    </w:p>
    <w:p>
      <w:pPr>
        <w:pStyle w:val="Heading1"/>
        <w:spacing w:after="140" w:before="280"/>
      </w:pPr>
      <w:r>
        <w:t xml:space="preserve">2. Competency Levels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Aware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Understands Consumer Duty exists and its broad purpose, but cannot yet apply it independently.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Developing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apply Consumer Duty requirements with guidance or supervision in routine situations.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Competent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apply Consumer Duty requirements independently and consistently across normal role activities.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Proficient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Applies Consumer Duty requirements confidently, including in non-routine or complex situations, and supports colleagues.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— Expert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Recognised authority; shapes policy/process and coaches others to a high standard.</w:t>
            </w:r>
          </w:p>
        </w:tc>
      </w:tr>
    </w:tbl>
    <w:p>
      <w:pPr>
        <w:pStyle w:val="Heading1"/>
        <w:spacing w:after="140" w:before="280"/>
      </w:pPr>
      <w:r>
        <w:t xml:space="preserve">3. Assessment Methods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Knowledge checks following training completion (see Role-Based Training Curriculum, CD-T1).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Manager observation and case review during normal business-as-usual activity.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Outcome testing results relevant to the individual or team (see Outcome Testing Results Template, CD-M2).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Complaint and error rates attributable to competency gaps rather than process or system failure.</w:t>
      </w:r>
    </w:p>
    <w:p>
      <w:pPr>
        <w:pStyle w:val="Heading1"/>
        <w:spacing w:after="140" w:before="280"/>
      </w:pPr>
      <w:r>
        <w:t xml:space="preserve">4. Minimum Competency Requirements by Role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Required Level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Customer-Facing Staff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 3 — Competent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Leaders / Complex Case Handlers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 4 — Proficient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Managers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 4 — Proficient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&amp; Risk Specialists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 4 — Proficient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Management / SMF Holders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 4 — Proficient</w:t>
            </w:r>
          </w:p>
        </w:tc>
      </w:tr>
    </w:tbl>
    <w:p>
      <w:pPr>
        <w:pStyle w:val="Heading1"/>
        <w:spacing w:after="140" w:before="280"/>
      </w:pPr>
      <w:r>
        <w:t xml:space="preserve">5. Managing Competency Gaps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Where an individual does not meet the minimum required level for their role, a development plan must be agreed with their manager, additional support or supervision provided, and progress reassessed within [Insert timeframe, e.g. 3 months]. Persistent gaps should be escalated to Learning &amp; Development and, where relevant, HR.</w:t>
      </w:r>
    </w:p>
    <w:p>
      <w:pPr>
        <w:pStyle w:val="Heading1"/>
        <w:spacing w:after="140" w:before="280"/>
      </w:pPr>
      <w:r>
        <w:t xml:space="preserve">6. Review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framework is reviewed at least annually, informed by the Training Needs Analysis (CD-T1) and outcomes of the Role-Based Training Curriculum (CD-T1).</w:t>
      </w:r>
    </w:p>
    <w:p>
      <w:pPr>
        <w:pStyle w:val="Heading1"/>
        <w:spacing w:after="140" w:before="280"/>
      </w:pPr>
      <w:r>
        <w:t xml:space="preserve">7. Approval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Name, 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2026-08-06T08:02:33.512Z</dcterms:created>
  <dcterms:modified xsi:type="dcterms:W3CDTF">2026-08-06T08:02:33.512Z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