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Manufacturer Information Pack Template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Distribution Chain Oversight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Product Owner]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pack is provided by [Insert Company Name], as manufacturer, to every distributor of this product, giving them the information they need to distribute it appropriately and meet their own Consumer Duty obligations, per PRIN 2A.3.11R.</w:t>
      </w:r>
    </w:p>
    <w:p>
      <w:pPr>
        <w:pStyle w:val="Heading1"/>
        <w:spacing w:after="140" w:before="280"/>
      </w:pPr>
      <w:r>
        <w:t xml:space="preserve">2. Product Summary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Reference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pStyle w:val="Heading1"/>
        <w:spacing w:after="140" w:before="280"/>
      </w:pPr>
      <w:r>
        <w:t xml:space="preserve">3. Target Market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summary of the target market from the Target Market Definition Template, CD-I1, including customer characteristics, needs, and objectives the product is designed to meet.]</w:t>
      </w:r>
    </w:p>
    <w:p>
      <w:pPr>
        <w:pStyle w:val="Heading1"/>
        <w:spacing w:after="140" w:before="280"/>
      </w:pPr>
      <w:r>
        <w:t xml:space="preserve">4. Negative Target Market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summary of customer groups the product is NOT designed for, from the Negative Target Market Assessment, CD-I1, and the rationale for exclusion.]</w:t>
      </w:r>
    </w:p>
    <w:p>
      <w:pPr>
        <w:pStyle w:val="Heading1"/>
        <w:spacing w:after="140" w:before="280"/>
      </w:pPr>
      <w:r>
        <w:t xml:space="preserve">5. Fair Value Summary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confirmation that a Fair Value Assessment has been completed, the date, and a summary of pricing structure and key costs the distributor must disclose accurately.]</w:t>
      </w:r>
    </w:p>
    <w:p>
      <w:pPr>
        <w:pStyle w:val="Heading1"/>
        <w:spacing w:after="140" w:before="280"/>
      </w:pPr>
      <w:r>
        <w:t xml:space="preserve">6. Distributor Obligations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Distribute this product only within the defined target market.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Represent the product's features, risks, and costs accurately and consistently with this pack.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Report sales data and any evidence of mis-distribution back to the manufacturer promptly.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Notify the manufacturer immediately of any complaints or evidence of poor customer outcomes relating to this product.</w:t>
      </w:r>
    </w:p>
    <w:p>
      <w:pPr>
        <w:pStyle w:val="Heading1"/>
        <w:spacing w:after="140" w:before="280"/>
      </w:pPr>
      <w:r>
        <w:t xml:space="preserve">7. Contact for Queries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Escalation Contact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This pack should be reissued whenever the product, its target market, or its pricing changes materially.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2026-08-05T20:58:30.561Z</dcterms:created>
  <dcterms:modified xsi:type="dcterms:W3CDTF">2026-08-05T20:58:30.561Z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