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Distributor Agreement Template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Distribution Chain Oversight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Distribution]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/ 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template sets out the Consumer Duty-related clauses to be included in agreements between [Insert Company Name] and third-party distributors, ensuring contractual alignment with PRIN 2A obligations. This is a clause template, not a complete agreement — combine with the firm's standard commercial and legal terms.</w:t>
      </w:r>
    </w:p>
    <w:p>
      <w:pPr>
        <w:pStyle w:val="Heading1"/>
        <w:spacing w:after="140" w:before="280"/>
      </w:pPr>
      <w:r>
        <w:t xml:space="preserve">2. Parties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Company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Distributor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p>
      <w:pPr>
        <w:pStyle w:val="Heading1"/>
        <w:spacing w:after="140" w:before="280"/>
      </w:pPr>
      <w:r>
        <w:t xml:space="preserve">3. Consumer Duty Clauses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Distributor shall distribute the Product(s) only within the target market defined in the Manufacturer Information Pack (CD-I6) provided by the Manufacturer.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Distributor shall not represent, market, or describe the Product(s) in any way inconsistent with the approved product information provided by the Manufacturer.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Distributor shall provide the Manufacturer with sales and outcomes data at a frequency and in a format agreed under the Information Sharing Protocol (CD-I6).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Distributor shall notify the Manufacturer without undue delay of any complaint, regulatory enquiry, or evidence suggesting the Product(s) may not be delivering good outcomes for customers.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Distributor shall cooperate with any request from the Manufacturer to review or amend distribution arrangements where required to meet Consumer Duty obligations.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Manufacturer reserves the right to suspend supply of the Product(s) to the Distributor where there is evidence of material non-compliance with these clauses.</w:t>
      </w:r>
    </w:p>
    <w:p>
      <w:pPr>
        <w:pStyle w:val="Heading1"/>
        <w:spacing w:after="140" w:before="280"/>
      </w:pPr>
      <w:r>
        <w:t xml:space="preserve">4. Review and Termination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agreement, and the Distributor's performance against these clauses, will be reviewed at least annually via the Third-Party Assessment Checklist (CD-I6) and the Chain Monitoring Framework (CD-I6).</w:t>
      </w:r>
    </w:p>
    <w:p>
      <w:pPr>
        <w:pStyle w:val="Heading1"/>
        <w:spacing w:after="140" w:before="280"/>
      </w:pPr>
      <w:r>
        <w:t xml:space="preserve">5. Signatures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 the Manufacturer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Title,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 the Distributor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Title, Date]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This template must be reviewed by Legal before use in any live distributor agreement.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2026-08-05T20:58:30.569Z</dcterms:created>
  <dcterms:modified xsi:type="dcterms:W3CDTF">2026-08-05T20:58:30.569Z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