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Third-Party Assessment Checklist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Distribution Chain Oversight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checklist assesses a third-party distributor's capability and track record in delivering good Consumer Duty outcomes, both before onboarding and as part of periodic due diligence, per the Chain Monitoring Framework (CD-I6).</w:t>
      </w:r>
    </w:p>
    <w:p>
      <w:pPr>
        <w:pStyle w:val="Heading1"/>
        <w:spacing w:after="140" w:before="280"/>
      </w:pPr>
      <w:r>
        <w:t xml:space="preserve">Third Party Details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Distributor Name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Products Distributed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pStyle w:val="Heading1"/>
        <w:spacing w:after="140" w:before="280"/>
      </w:pPr>
      <w:r>
        <w:t xml:space="preserve">Checklist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 has received and acknowledged the current Manufacturer Information Pack (CD-I6).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Distributor's sales staff have received adequate training on the product and target market.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Distributor's marketing materials are consistent with the approved product information.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 has a compliant complaints-handling process and shares complaint data as agreed.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Distributor's remuneration structure does not create an incentive to mis-sell.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 has confirmed no material regulatory action or investigation is outstanding.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Information Sharing Protocol (CD-I6) is signed and current.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 period sales data shows no material evidence of sales outside the target market.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t xml:space="preserve">Outcome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[Approved / Approved with Conditions / Not Approved]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Assessment Due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Any item marked 'No' should be resolved before onboarding, or logged in the Gap Analysis Framework (CD-F1) with a remediation plan for an existing distributor.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2026-08-05T20:58:30.576Z</dcterms:created>
  <dcterms:modified xsi:type="dcterms:W3CDTF">2026-08-05T20:58:30.576Z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