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Information Sharing Protocol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Distribution Chain Oversight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CD-I6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Governance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protocol defines what information must be shared between [Insert Company Name] and each third party in its distribution chain, to ensure all parties have what they need to deliver good customer outcomes, per PRIN 2A.3.11R and PRIN 2A.9.4R.</w:t>
      </w:r>
    </w:p>
    <w:p>
      <w:pPr>
        <w:pStyle w:val="Heading1"/>
        <w:spacing w:after="140" w:before="280"/>
      </w:pPr>
      <w:r>
        <w:t xml:space="preserve">2. Information Flows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Shared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Manufacturer → Distributor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Manufacturer Information Pack (CD-I6): target market, negative target market, fair value summary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launch and on material change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— e.g., secure portal]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Distributor → Manufacturer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volumes and customer segment data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method]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Distributor → Manufacturer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Complaint volumes and themes relating to the product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Monthly, or immediately for material issues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method]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Manufacturer → Distributor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changes, withdrawal notices, FVA outcome updates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they occur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method]</w:t>
            </w:r>
          </w:p>
        </w:tc>
      </w:tr>
    </w:tbl>
    <w:p>
      <w:pPr>
        <w:pStyle w:val="Heading1"/>
        <w:spacing w:after="140" w:before="280"/>
      </w:pPr>
      <w:r>
        <w:t xml:space="preserve">3. Data Standards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All shared data must be accurate, timely, and in the agreed format. Any party identifying an error in shared data must notify the other party within [2 business days] of discovery.</w:t>
      </w:r>
    </w:p>
    <w:p>
      <w:pPr>
        <w:pStyle w:val="Heading1"/>
        <w:spacing w:after="140" w:before="280"/>
      </w:pPr>
      <w:r>
        <w:t xml:space="preserve">4. Confidentiality and Data Protection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Any customer-level data shared under this protocol must comply with UK GDPR and the firm's Data Protection Policy. Aggregate, non-identifiable data should be used wherever it meets the purpose.</w:t>
      </w:r>
    </w:p>
    <w:p>
      <w:pPr>
        <w:pStyle w:val="Heading1"/>
        <w:spacing w:after="140" w:before="280"/>
      </w:pPr>
      <w:r>
        <w:t xml:space="preserve">5. Escalation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Failure to share information as required under this protocol should be treated as a distribution chain risk and escalated via the Chain Monitoring Framework (CD-I6) and, where material, the Escalation Pathway Document (CD-P1).</w:t>
      </w:r>
    </w:p>
    <w:p>
      <w:pPr>
        <w:pStyle w:val="Heading1"/>
        <w:spacing w:after="140" w:before="280"/>
      </w:pPr>
      <w:r>
        <w:t xml:space="preserve">6.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2026-08-05T20:58:30.580Z</dcterms:created>
  <dcterms:modified xsi:type="dcterms:W3CDTF">2026-08-05T20:58:30.580Z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