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1F3864"/>
          <w:sz w:val="48"/>
          <w:szCs w:val="48"/>
        </w:rPr>
        <w:t xml:space="preserve">Chain Monitoring Framework</w:t>
      </w:r>
    </w:p>
    <w:p>
      <w:pPr>
        <w:spacing w:after="200"/>
        <w:jc w:val="center"/>
      </w:pPr>
      <w:r>
        <w:rPr>
          <w:rFonts w:ascii="Arial" w:cs="Arial" w:eastAsia="Arial" w:hAnsi="Arial"/>
          <w:i/>
          <w:iCs/>
          <w:color w:val="2E5C8A"/>
          <w:sz w:val="26"/>
          <w:szCs w:val="26"/>
        </w:rPr>
        <w:t xml:space="preserve">Consumer Duty Implementation — Distribution Chain Oversight</w:t>
      </w:r>
    </w:p>
    <w:p>
      <w:pPr>
        <w:spacing w:after="2000"/>
        <w:jc w:val="center"/>
      </w:pPr>
      <w:r>
        <w:rPr>
          <w:rFonts w:ascii="Arial" w:cs="Arial" w:eastAsia="Arial" w:hAnsi="Arial"/>
          <w:color w:val="595959"/>
          <w:sz w:val="22"/>
          <w:szCs w:val="22"/>
        </w:rPr>
        <w:t xml:space="preserve">Reference: CD-I6</w:t>
      </w:r>
    </w:p>
    <w:p>
      <w:r>
        <w:br w:type="page"/>
      </w:r>
    </w:p>
    <w:p>
      <w:pPr>
        <w:pStyle w:val="Heading1"/>
        <w:spacing w:after="140" w:before="280"/>
      </w:pPr>
      <w:r>
        <w:t xml:space="preserve">Document Control</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Version</w:t>
            </w:r>
          </w:p>
        </w:tc>
        <w:tc>
          <w:tcPr>
            <w:tcW w:type="dxa" w:w="2200"/>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Date</w:t>
            </w:r>
          </w:p>
        </w:tc>
        <w:tc>
          <w:tcPr>
            <w:tcW w:type="dxa" w:w="2200"/>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Author</w:t>
            </w:r>
          </w:p>
        </w:tc>
        <w:tc>
          <w:tcPr>
            <w:tcW w:type="dxa" w:w="3100"/>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Summary of Changes</w:t>
            </w:r>
          </w:p>
        </w:tc>
      </w:tr>
      <w:tr>
        <w:tc>
          <w:tcPr>
            <w:tcW w:type="dxa" w:w="2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1.0</w:t>
            </w:r>
          </w:p>
        </w:tc>
        <w:tc>
          <w:tcPr>
            <w:tcW w:type="dxa" w:w="2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Date]</w:t>
            </w:r>
          </w:p>
        </w:tc>
        <w:tc>
          <w:tcPr>
            <w:tcW w:type="dxa" w:w="2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Author]</w:t>
            </w:r>
          </w:p>
        </w:tc>
        <w:tc>
          <w:tcPr>
            <w:tcW w:type="dxa" w:w="31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Initial draft for review</w:t>
            </w:r>
          </w:p>
        </w:tc>
      </w:tr>
      <w:tr>
        <w:tc>
          <w:tcPr>
            <w:tcW w:type="dxa" w:w="2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
            </w:r>
          </w:p>
        </w:tc>
        <w:tc>
          <w:tcPr>
            <w:tcW w:type="dxa" w:w="2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
            </w:r>
          </w:p>
        </w:tc>
        <w:tc>
          <w:tcPr>
            <w:tcW w:type="dxa" w:w="2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
            </w:r>
          </w:p>
        </w:tc>
        <w:tc>
          <w:tcPr>
            <w:tcW w:type="dxa" w:w="31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
            </w:r>
          </w:p>
        </w:tc>
      </w:tr>
    </w:tbl>
    <w:p>
      <w:pPr>
        <w:spacing w:after="160" w:line="276"/>
      </w:pPr>
      <w:r>
        <w:rPr>
          <w:rFonts w:ascii="Arial" w:cs="Arial" w:eastAsia="Arial" w:hAnsi="Arial"/>
          <w:b w:val="false"/>
          <w:bCs w:val="false"/>
          <w:i w:val="false"/>
          <w:iCs w:val="false"/>
          <w:sz w:val="21"/>
          <w:szCs w:val="21"/>
        </w:rPr>
        <w:t xml:space="preserve"/>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shd w:fill="F2F2F2" w:val="clear"/>
            <w:tcMar>
              <w:top w:type="dxa" w:w="80"/>
              <w:left w:type="dxa" w:w="100"/>
              <w:bottom w:type="dxa" w:w="80"/>
              <w:right w:type="dxa" w:w="100"/>
            </w:tcMar>
            <w:vAlign w:val="center"/>
          </w:tcPr>
          <w:p>
            <w:pPr>
              <w:jc w:val="left"/>
            </w:pPr>
            <w:r>
              <w:rPr>
                <w:rFonts w:ascii="Arial" w:cs="Arial" w:eastAsia="Arial" w:hAnsi="Arial"/>
                <w:b/>
                <w:bCs/>
                <w:color w:val="000000"/>
                <w:sz w:val="20"/>
                <w:szCs w:val="20"/>
              </w:rPr>
              <w:t xml:space="preserve">Document Owner</w:t>
            </w:r>
          </w:p>
        </w:tc>
        <w:tc>
          <w:tcPr>
            <w:tcW w:type="dxa" w:w="6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Name/Role — e.g., Head of Distribution]</w:t>
            </w:r>
          </w:p>
        </w:tc>
      </w:tr>
      <w:tr>
        <w:tc>
          <w:tcPr>
            <w:tcW w:type="dxa" w:w="3000"/>
            <w:shd w:fill="F2F2F2" w:val="clear"/>
            <w:tcMar>
              <w:top w:type="dxa" w:w="80"/>
              <w:left w:type="dxa" w:w="100"/>
              <w:bottom w:type="dxa" w:w="80"/>
              <w:right w:type="dxa" w:w="100"/>
            </w:tcMar>
            <w:vAlign w:val="center"/>
          </w:tcPr>
          <w:p>
            <w:pPr>
              <w:jc w:val="left"/>
            </w:pPr>
            <w:r>
              <w:rPr>
                <w:rFonts w:ascii="Arial" w:cs="Arial" w:eastAsia="Arial" w:hAnsi="Arial"/>
                <w:b/>
                <w:bCs/>
                <w:color w:val="000000"/>
                <w:sz w:val="20"/>
                <w:szCs w:val="20"/>
              </w:rPr>
              <w:t xml:space="preserve">Approving Body</w:t>
            </w:r>
          </w:p>
        </w:tc>
        <w:tc>
          <w:tcPr>
            <w:tcW w:type="dxa" w:w="6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Consumer Duty Oversight Committee</w:t>
            </w:r>
          </w:p>
        </w:tc>
      </w:tr>
      <w:tr>
        <w:tc>
          <w:tcPr>
            <w:tcW w:type="dxa" w:w="3000"/>
            <w:shd w:fill="F2F2F2" w:val="clear"/>
            <w:tcMar>
              <w:top w:type="dxa" w:w="80"/>
              <w:left w:type="dxa" w:w="100"/>
              <w:bottom w:type="dxa" w:w="80"/>
              <w:right w:type="dxa" w:w="100"/>
            </w:tcMar>
            <w:vAlign w:val="center"/>
          </w:tcPr>
          <w:p>
            <w:pPr>
              <w:jc w:val="left"/>
            </w:pPr>
            <w:r>
              <w:rPr>
                <w:rFonts w:ascii="Arial" w:cs="Arial" w:eastAsia="Arial" w:hAnsi="Arial"/>
                <w:b/>
                <w:bCs/>
                <w:color w:val="000000"/>
                <w:sz w:val="20"/>
                <w:szCs w:val="20"/>
              </w:rPr>
              <w:t xml:space="preserve">Next Review Date</w:t>
            </w:r>
          </w:p>
        </w:tc>
        <w:tc>
          <w:tcPr>
            <w:tcW w:type="dxa" w:w="6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Date — recommended annual review]</w:t>
            </w:r>
          </w:p>
        </w:tc>
      </w:tr>
    </w:tbl>
    <w:p>
      <w:pPr>
        <w:spacing w:after="160" w:line="276"/>
      </w:pPr>
      <w:r>
        <w:rPr>
          <w:rFonts w:ascii="Arial" w:cs="Arial" w:eastAsia="Arial" w:hAnsi="Arial"/>
          <w:b w:val="false"/>
          <w:bCs w:val="false"/>
          <w:i w:val="false"/>
          <w:iCs w:val="false"/>
          <w:sz w:val="21"/>
          <w:szCs w:val="21"/>
        </w:rPr>
        <w:t xml:space="preserve"/>
      </w:r>
    </w:p>
    <w:p>
      <w:pPr>
        <w:pStyle w:val="Heading1"/>
        <w:spacing w:after="140" w:before="280"/>
      </w:pPr>
      <w:r>
        <w:t xml:space="preserve">1. Purpose</w:t>
      </w:r>
    </w:p>
    <w:p>
      <w:pPr>
        <w:spacing w:after="160" w:line="276"/>
      </w:pPr>
      <w:r>
        <w:rPr>
          <w:rFonts w:ascii="Arial" w:cs="Arial" w:eastAsia="Arial" w:hAnsi="Arial"/>
          <w:b w:val="false"/>
          <w:bCs w:val="false"/>
          <w:i w:val="false"/>
          <w:iCs w:val="false"/>
          <w:sz w:val="21"/>
          <w:szCs w:val="21"/>
        </w:rPr>
        <w:t xml:space="preserve">This framework sets out how [Insert Company Name] monitors its distribution chains on an ongoing basis to confirm products continue to reach their intended target market and deliver good customer outcomes, drawing together the Distribution Chain Mapping Tool (CD-I6) and Third-Party Assessment Checklist (CD-I6).</w:t>
      </w:r>
    </w:p>
    <w:p>
      <w:pPr>
        <w:pStyle w:val="Heading1"/>
        <w:spacing w:after="140" w:before="280"/>
      </w:pPr>
      <w:r>
        <w:t xml:space="preserve">2. Monitoring Activities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4200"/>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Activity</w:t>
            </w:r>
          </w:p>
        </w:tc>
        <w:tc>
          <w:tcPr>
            <w:tcW w:type="dxa" w:w="2400"/>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Frequency</w:t>
            </w:r>
          </w:p>
        </w:tc>
        <w:tc>
          <w:tcPr>
            <w:tcW w:type="dxa" w:w="3100"/>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Owner</w:t>
            </w:r>
          </w:p>
        </w:tc>
      </w:tr>
      <w:tr>
        <w:tc>
          <w:tcPr>
            <w:tcW w:type="dxa" w:w="4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Review sales data for evidence of distribution outside target market</w:t>
            </w:r>
          </w:p>
        </w:tc>
        <w:tc>
          <w:tcPr>
            <w:tcW w:type="dxa" w:w="24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Monthly</w:t>
            </w:r>
          </w:p>
        </w:tc>
        <w:tc>
          <w:tcPr>
            <w:tcW w:type="dxa" w:w="31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Product Owner</w:t>
            </w:r>
          </w:p>
        </w:tc>
      </w:tr>
      <w:tr>
        <w:tc>
          <w:tcPr>
            <w:tcW w:type="dxa" w:w="4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Review complaint themes by distribution channel</w:t>
            </w:r>
          </w:p>
        </w:tc>
        <w:tc>
          <w:tcPr>
            <w:tcW w:type="dxa" w:w="24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Monthly</w:t>
            </w:r>
          </w:p>
        </w:tc>
        <w:tc>
          <w:tcPr>
            <w:tcW w:type="dxa" w:w="31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Compliance</w:t>
            </w:r>
          </w:p>
        </w:tc>
      </w:tr>
      <w:tr>
        <w:tc>
          <w:tcPr>
            <w:tcW w:type="dxa" w:w="4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Full Third-Party Assessment Checklist (CD-I6) refresh</w:t>
            </w:r>
          </w:p>
        </w:tc>
        <w:tc>
          <w:tcPr>
            <w:tcW w:type="dxa" w:w="24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Annually, or on trigger event</w:t>
            </w:r>
          </w:p>
        </w:tc>
        <w:tc>
          <w:tcPr>
            <w:tcW w:type="dxa" w:w="31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Product Governance Committee</w:t>
            </w:r>
          </w:p>
        </w:tc>
      </w:tr>
      <w:tr>
        <w:tc>
          <w:tcPr>
            <w:tcW w:type="dxa" w:w="4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Distribution Chain Mapping Tool (CD-I6) refresh</w:t>
            </w:r>
          </w:p>
        </w:tc>
        <w:tc>
          <w:tcPr>
            <w:tcW w:type="dxa" w:w="24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Annually, or on new chain link</w:t>
            </w:r>
          </w:p>
        </w:tc>
        <w:tc>
          <w:tcPr>
            <w:tcW w:type="dxa" w:w="31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Product Owner</w:t>
            </w:r>
          </w:p>
        </w:tc>
      </w:tr>
      <w:tr>
        <w:tc>
          <w:tcPr>
            <w:tcW w:type="dxa" w:w="4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Review of Information Sharing Protocol (CD-I6) compliance</w:t>
            </w:r>
          </w:p>
        </w:tc>
        <w:tc>
          <w:tcPr>
            <w:tcW w:type="dxa" w:w="24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Quarterly</w:t>
            </w:r>
          </w:p>
        </w:tc>
        <w:tc>
          <w:tcPr>
            <w:tcW w:type="dxa" w:w="31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Compliance</w:t>
            </w:r>
          </w:p>
        </w:tc>
      </w:tr>
    </w:tbl>
    <w:p>
      <w:pPr>
        <w:pStyle w:val="Heading1"/>
        <w:spacing w:after="140" w:before="280"/>
      </w:pPr>
      <w:r>
        <w:t xml:space="preserve">3. Trigger Events for Ad Hoc Review</w:t>
      </w:r>
    </w:p>
    <w:p>
      <w:pPr>
        <w:pStyle w:val="ListParagraph"/>
        <w:numPr>
          <w:ilvl w:val="0"/>
          <w:numId w:val="2"/>
        </w:numPr>
        <w:spacing w:after="100"/>
      </w:pPr>
      <w:r>
        <w:rPr>
          <w:rFonts w:ascii="Arial" w:cs="Arial" w:eastAsia="Arial" w:hAnsi="Arial"/>
          <w:sz w:val="21"/>
          <w:szCs w:val="21"/>
        </w:rPr>
        <w:t xml:space="preserve">A material increase in complaints associated with a specific distributor.</w:t>
      </w:r>
    </w:p>
    <w:p>
      <w:pPr>
        <w:pStyle w:val="ListParagraph"/>
        <w:numPr>
          <w:ilvl w:val="0"/>
          <w:numId w:val="2"/>
        </w:numPr>
        <w:spacing w:after="100"/>
      </w:pPr>
      <w:r>
        <w:rPr>
          <w:rFonts w:ascii="Arial" w:cs="Arial" w:eastAsia="Arial" w:hAnsi="Arial"/>
          <w:sz w:val="21"/>
          <w:szCs w:val="21"/>
        </w:rPr>
        <w:t xml:space="preserve">Evidence of sales outside the defined target market.</w:t>
      </w:r>
    </w:p>
    <w:p>
      <w:pPr>
        <w:pStyle w:val="ListParagraph"/>
        <w:numPr>
          <w:ilvl w:val="0"/>
          <w:numId w:val="2"/>
        </w:numPr>
        <w:spacing w:after="100"/>
      </w:pPr>
      <w:r>
        <w:rPr>
          <w:rFonts w:ascii="Arial" w:cs="Arial" w:eastAsia="Arial" w:hAnsi="Arial"/>
          <w:sz w:val="21"/>
          <w:szCs w:val="21"/>
        </w:rPr>
        <w:t xml:space="preserve">A distributor undergoes a change of ownership, financial distress, or regulatory action.</w:t>
      </w:r>
    </w:p>
    <w:p>
      <w:pPr>
        <w:pStyle w:val="ListParagraph"/>
        <w:numPr>
          <w:ilvl w:val="0"/>
          <w:numId w:val="2"/>
        </w:numPr>
        <w:spacing w:after="100"/>
      </w:pPr>
      <w:r>
        <w:rPr>
          <w:rFonts w:ascii="Arial" w:cs="Arial" w:eastAsia="Arial" w:hAnsi="Arial"/>
          <w:sz w:val="21"/>
          <w:szCs w:val="21"/>
        </w:rPr>
        <w:t xml:space="preserve">A product's Fair Value Assessment or target market definition changes materially.</w:t>
      </w:r>
    </w:p>
    <w:p>
      <w:pPr>
        <w:pStyle w:val="Heading1"/>
        <w:spacing w:after="140" w:before="280"/>
      </w:pPr>
      <w:r>
        <w:t xml:space="preserve">4. Escalation</w:t>
      </w:r>
    </w:p>
    <w:p>
      <w:pPr>
        <w:spacing w:after="160" w:line="276"/>
      </w:pPr>
      <w:r>
        <w:rPr>
          <w:rFonts w:ascii="Arial" w:cs="Arial" w:eastAsia="Arial" w:hAnsi="Arial"/>
          <w:b w:val="false"/>
          <w:bCs w:val="false"/>
          <w:i w:val="false"/>
          <w:iCs w:val="false"/>
          <w:sz w:val="21"/>
          <w:szCs w:val="21"/>
        </w:rPr>
        <w:t xml:space="preserve">Where monitoring identifies a distributor is not meeting its obligations, the matter should be escalated per the Escalation Pathway Document (CD-P1). Options include remediation planning, enhanced oversight, or suspension of supply, as set out in the Distributor Agreement Template (CD-I6).</w:t>
      </w:r>
    </w:p>
    <w:p>
      <w:pPr>
        <w:pStyle w:val="Heading1"/>
        <w:spacing w:after="140" w:before="280"/>
      </w:pPr>
      <w:r>
        <w:t xml:space="preserve">5. Reporting</w:t>
      </w:r>
    </w:p>
    <w:p>
      <w:pPr>
        <w:spacing w:after="160" w:line="276"/>
      </w:pPr>
      <w:r>
        <w:rPr>
          <w:rFonts w:ascii="Arial" w:cs="Arial" w:eastAsia="Arial" w:hAnsi="Arial"/>
          <w:b w:val="false"/>
          <w:bCs w:val="false"/>
          <w:i w:val="false"/>
          <w:iCs w:val="false"/>
          <w:sz w:val="21"/>
          <w:szCs w:val="21"/>
        </w:rPr>
        <w:t xml:space="preserve">A summary of distribution chain monitoring, including any material issues, is reported to the Consumer Duty Oversight Committee quarterly.</w:t>
      </w:r>
    </w:p>
    <w:p>
      <w:pPr>
        <w:pStyle w:val="Heading1"/>
        <w:spacing w:after="140" w:before="280"/>
      </w:pPr>
      <w:r>
        <w:t xml:space="preserve">6. Approval</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shd w:fill="F2F2F2" w:val="clear"/>
            <w:tcMar>
              <w:top w:type="dxa" w:w="80"/>
              <w:left w:type="dxa" w:w="100"/>
              <w:bottom w:type="dxa" w:w="80"/>
              <w:right w:type="dxa" w:w="100"/>
            </w:tcMar>
            <w:vAlign w:val="center"/>
          </w:tcPr>
          <w:p>
            <w:pPr>
              <w:jc w:val="left"/>
            </w:pPr>
            <w:r>
              <w:rPr>
                <w:rFonts w:ascii="Arial" w:cs="Arial" w:eastAsia="Arial" w:hAnsi="Arial"/>
                <w:b/>
                <w:bCs/>
                <w:color w:val="000000"/>
                <w:sz w:val="20"/>
                <w:szCs w:val="20"/>
              </w:rPr>
              <w:t xml:space="preserve">Approved By</w:t>
            </w:r>
          </w:p>
        </w:tc>
        <w:tc>
          <w:tcPr>
            <w:tcW w:type="dxa" w:w="6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Name, Role]</w:t>
            </w:r>
          </w:p>
        </w:tc>
      </w:tr>
      <w:tr>
        <w:tc>
          <w:tcPr>
            <w:tcW w:type="dxa" w:w="3000"/>
            <w:shd w:fill="F2F2F2" w:val="clear"/>
            <w:tcMar>
              <w:top w:type="dxa" w:w="80"/>
              <w:left w:type="dxa" w:w="100"/>
              <w:bottom w:type="dxa" w:w="80"/>
              <w:right w:type="dxa" w:w="100"/>
            </w:tcMar>
            <w:vAlign w:val="center"/>
          </w:tcPr>
          <w:p>
            <w:pPr>
              <w:jc w:val="left"/>
            </w:pPr>
            <w:r>
              <w:rPr>
                <w:rFonts w:ascii="Arial" w:cs="Arial" w:eastAsia="Arial" w:hAnsi="Arial"/>
                <w:b/>
                <w:bCs/>
                <w:color w:val="000000"/>
                <w:sz w:val="20"/>
                <w:szCs w:val="20"/>
              </w:rPr>
              <w:t xml:space="preserve">Approval Date</w:t>
            </w:r>
          </w:p>
        </w:tc>
        <w:tc>
          <w:tcPr>
            <w:tcW w:type="dxa" w:w="6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Date]</w:t>
            </w:r>
          </w:p>
        </w:tc>
      </w:tr>
      <w:tr>
        <w:tc>
          <w:tcPr>
            <w:tcW w:type="dxa" w:w="3000"/>
            <w:shd w:fill="F2F2F2" w:val="clear"/>
            <w:tcMar>
              <w:top w:type="dxa" w:w="80"/>
              <w:left w:type="dxa" w:w="100"/>
              <w:bottom w:type="dxa" w:w="80"/>
              <w:right w:type="dxa" w:w="100"/>
            </w:tcMar>
            <w:vAlign w:val="center"/>
          </w:tcPr>
          <w:p>
            <w:pPr>
              <w:jc w:val="left"/>
            </w:pPr>
            <w:r>
              <w:rPr>
                <w:rFonts w:ascii="Arial" w:cs="Arial" w:eastAsia="Arial" w:hAnsi="Arial"/>
                <w:b/>
                <w:bCs/>
                <w:color w:val="000000"/>
                <w:sz w:val="20"/>
                <w:szCs w:val="20"/>
              </w:rPr>
              <w:t xml:space="preserve">Next Review Date</w:t>
            </w:r>
          </w:p>
        </w:tc>
        <w:tc>
          <w:tcPr>
            <w:tcW w:type="dxa" w:w="6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Date]</w:t>
            </w:r>
          </w:p>
        </w:tc>
      </w:tr>
    </w:tbl>
    <w:sectPr>
      <w:footerReference w:type="default" r:id="rId7"/>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CONFIDENTIAL — Internal Use Only   |   Page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color w:val="808080"/>
        <w:sz w:val="16"/>
        <w:szCs w:val="16"/>
      </w:rPr>
      <w:t xml:space="preserve"> of </w:t>
    </w:r>
    <w:r>
      <w:rPr>
        <w:rFonts w:ascii="Arial" w:cs="Arial" w:eastAsia="Arial" w:hAnsi="Arial"/>
        <w:color w:val="808080"/>
        <w:sz w:val="16"/>
        <w:szCs w:val="16"/>
      </w:rPr>
      <w:fldChar w:fldCharType="begin"/>
      <w:instrText xml:space="preserve">NUMPAGES</w:instrText>
      <w:fldChar w:fldCharType="separate"/>
      <w:fldChar w:fldCharType="end"/>
    </w:r>
  </w:p>
  <w:p>
    <w:pPr>
      <w:jc w:val="center"/>
    </w:pPr>
    <w:r>
      <w:rPr>
        <w:rFonts w:ascii="Arial" w:cs="Arial" w:eastAsia="Arial" w:hAnsi="Arial"/>
        <w:color w:val="808080"/>
        <w:sz w:val="16"/>
        <w:szCs w:val="16"/>
      </w:rPr>
      <w:t xml:space="preserve">© 2026 xPercept.ai. Copyright and confidential. Do not distribute.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2026-08-05T20:58:30.582Z</dcterms:created>
  <dcterms:modified xsi:type="dcterms:W3CDTF">2026-08-05T20:58:30.582Z</dcterms:modified>
</cp:coreProperties>
</file>

<file path=docProps/custom.xml><?xml version="1.0" encoding="utf-8"?>
<Properties xmlns="http://schemas.openxmlformats.org/officeDocument/2006/custom-properties" xmlns:vt="http://schemas.openxmlformats.org/officeDocument/2006/docPropsVTypes"/>
</file>