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Behavioural Testing Methodology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Understanding Outcome — Consumer Duty Implementation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CD-I3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Governance Committee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methodology sets out how [Insert Company Name] tests customer communications and journeys for behavioural effects — including framing, defaults, and choice architecture — that could inadvertently lead customers away from good outcomes, in line with PRIN 2A.5 and FCA guidance on sludge practices.</w:t>
      </w:r>
    </w:p>
    <w:p>
      <w:pPr>
        <w:pStyle w:val="Heading1"/>
        <w:spacing w:after="140" w:before="280"/>
      </w:pPr>
      <w:r>
        <w:t xml:space="preserve">2. What Behavioural Testing Covers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Framing effects — how information is presented (e.g., gains vs losses) and whether this could mislead.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Default options — whether pre-selected choices favour the firm over the customer's interests.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Choice architecture — the order, prominence, and grouping of options presented to customers.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Friction — whether beneficial actions (e.g., cancelling, switching) are made harder than they need to be (see Sludge Audit Assessment Framework, CD-I4).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Emotional or urgency-based prompts that may pressure quick decisions.</w:t>
      </w:r>
    </w:p>
    <w:p>
      <w:pPr>
        <w:pStyle w:val="Heading1"/>
        <w:spacing w:after="140" w:before="280"/>
      </w:pPr>
      <w:r>
        <w:t xml:space="preserve">3. Testing Approach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Map the customer journey or communication and identify decision points.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Assess each decision point against the behavioural risks in Section 2.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Where risk is identified, test alternative designs with a representative customer sample (see A/B Testing Results Template, CD-I3).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Select the design that best supports good customer outcomes, not simply the design that maximises a commercial metric.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Document the rationale for the final design, including any trade-offs considered.</w:t>
      </w:r>
    </w:p>
    <w:p>
      <w:pPr>
        <w:pStyle w:val="Heading1"/>
        <w:spacing w:after="140" w:before="280"/>
      </w:pPr>
      <w:r>
        <w:t xml:space="preserve">4. Governance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Any journey or communication with a High potential behavioural risk rating must be reviewed and approved by the Product Governance Committee before launch, with findings recorded in the Evidence Log &amp; Repository (CD-I7).</w:t>
      </w:r>
    </w:p>
    <w:p>
      <w:pPr>
        <w:pStyle w:val="Heading1"/>
        <w:spacing w:after="140" w:before="280"/>
      </w:pPr>
      <w:r>
        <w:t xml:space="preserve">5. Related Documents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Communication Testing Protocol (CD-I3)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A/B Testing Results Template (CD-I3)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Sludge Audit Assessment Framework (CD-I4)</w:t>
      </w:r>
    </w:p>
    <w:p>
      <w:pPr>
        <w:pStyle w:val="Heading1"/>
        <w:spacing w:after="140" w:before="280"/>
      </w:pPr>
      <w:r>
        <w:t xml:space="preserve">6. Approval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Name, 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Approval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2026-08-05T20:51:37.286Z</dcterms:created>
  <dcterms:modified xsi:type="dcterms:W3CDTF">2026-08-05T20:51:37.286Z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