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Marketing Review Checklist</w:t>
      </w:r>
    </w:p>
    <w:p>
      <w:pPr>
        <w:spacing w:after="200"/>
        <w:jc w:val="center"/>
      </w:pPr>
      <w:r>
        <w:rPr>
          <w:rFonts w:ascii="Arial" w:cs="Arial" w:eastAsia="Arial" w:hAnsi="Arial"/>
          <w:i/>
          <w:iCs/>
          <w:color w:val="2E5C8A"/>
          <w:sz w:val="26"/>
          <w:szCs w:val="26"/>
        </w:rPr>
        <w:t xml:space="preserve">Consumer Duty Implementation — Consumer Understanding Outcome</w:t>
      </w:r>
    </w:p>
    <w:p>
      <w:pPr>
        <w:spacing w:after="2000"/>
        <w:jc w:val="center"/>
      </w:pPr>
      <w:r>
        <w:rPr>
          <w:rFonts w:ascii="Arial" w:cs="Arial" w:eastAsia="Arial" w:hAnsi="Arial"/>
          <w:color w:val="595959"/>
          <w:sz w:val="22"/>
          <w:szCs w:val="22"/>
        </w:rPr>
        <w:t xml:space="preserve">Reference: CD-I3</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Approving Body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Compliance sign-off</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 — recommended annual review]</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Purpose</w:t>
      </w:r>
    </w:p>
    <w:p>
      <w:pPr>
        <w:spacing w:after="160" w:line="276"/>
      </w:pPr>
      <w:r>
        <w:rPr>
          <w:rFonts w:ascii="Arial" w:cs="Arial" w:eastAsia="Arial" w:hAnsi="Arial"/>
          <w:b w:val="false"/>
          <w:bCs w:val="false"/>
          <w:i w:val="false"/>
          <w:iCs w:val="false"/>
          <w:sz w:val="21"/>
          <w:szCs w:val="21"/>
        </w:rPr>
        <w:t xml:space="preserve">This checklist must be completed for every marketing communication before release, to confirm it is fair, clear, not misleading, and consistent with the actual product terms, per PRIN 2A.5 and the Communication Testing Protocol (CD-I3).</w:t>
      </w:r>
    </w:p>
    <w:p>
      <w:pPr>
        <w:pStyle w:val="Heading1"/>
        <w:spacing w:after="140" w:before="280"/>
      </w:pPr>
      <w:r>
        <w:t xml:space="preserve">Campaign Details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Campaign / Asset Name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Channel(s)</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 e.g., Email, Social, Press]</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Product(s) Referenced</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w:t>
            </w:r>
          </w:p>
        </w:tc>
      </w:tr>
    </w:tbl>
    <w:p>
      <w:pPr>
        <w:pStyle w:val="Heading1"/>
        <w:spacing w:after="140" w:before="280"/>
      </w:pPr>
      <w:r>
        <w:t xml:space="preserve">Checklist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5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Item</w:t>
            </w:r>
          </w:p>
        </w:tc>
        <w:tc>
          <w:tcPr>
            <w:tcW w:type="dxa" w:w="13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Y/N</w:t>
            </w:r>
          </w:p>
        </w:tc>
        <w:tc>
          <w:tcPr>
            <w:tcW w:type="dxa" w:w="20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Notes</w:t>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Claims made are accurate and can be evidenced.</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Benefits are not overstated relative to risks and costs.</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Risk warnings and key costs are prominent, not hidden in small print.</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4</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Representative examples (e.g., APR, rates) meet regulatory requirements.</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5</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The communication targets the intended target market (see Target Market Definition Template, CD-I1).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6</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Terms used are consistent with the actual product documentation.</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7</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Any time-limited offers or urgency messaging are factually accurate and not used to create undue pressure.</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8</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The communication has passed the Plain Language Checklist (CD-I3).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9</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Accessibility requirements have been met (see Accessible Communications Checklist, CD-I5).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Legal and Compliance sign-off has been obtained.</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pStyle w:val="Heading1"/>
        <w:spacing w:after="140" w:before="280"/>
      </w:pPr>
      <w:r>
        <w:t xml:space="preserve">Sign-Off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Reviewed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Outcome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[Approved / Requires Amendment / Rejected]</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2026-08-05T20:51:37.293Z</dcterms:created>
  <dcterms:modified xsi:type="dcterms:W3CDTF">2026-08-05T20:51:37.293Z</dcterms:modified>
</cp:coreProperties>
</file>

<file path=docProps/custom.xml><?xml version="1.0" encoding="utf-8"?>
<Properties xmlns="http://schemas.openxmlformats.org/officeDocument/2006/custom-properties" xmlns:vt="http://schemas.openxmlformats.org/officeDocument/2006/docPropsVTypes"/>
</file>