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Control Testing Methodology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Monitoring &amp; Assurance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CD-M2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Compliance Monitoring]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methodology sets out how [Insert Company Name] tests the design and operating effectiveness of the controls that support Consumer Duty compliance, complementing outcome testing (see Outcome Testing Results Template, CD-M2) by confirming the controls behind those outcomes are actually working as intended.</w:t>
      </w:r>
    </w:p>
    <w:p>
      <w:pPr>
        <w:pStyle w:val="Heading1"/>
        <w:spacing w:after="140" w:before="280"/>
      </w:pPr>
      <w:r>
        <w:t xml:space="preserve">2. Outcome Testing vs Control Testing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Outcome testing asks: 'are customers experiencing good outcomes?' Control testing asks: 'is the control that is supposed to produce that outcome actually working, consistently, as designed?' Both are needed — a control can appear to exist on paper while not operating effectively in practice, and outcome testing alone will not always reveal why.</w:t>
      </w:r>
    </w:p>
    <w:p>
      <w:pPr>
        <w:pStyle w:val="Heading1"/>
        <w:spacing w:after="140" w:before="280"/>
      </w:pPr>
      <w:r>
        <w:t xml:space="preserve">3. Testing Approach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Confirms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effectiveness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control, if operated as designed, would prevent or detect the risk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Reviewing the Fair Value Assessment template to confirm it captures all required cost elements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effectiveness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control is being applied consistently in practice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Sampling completed FVAs to confirm the template was actually followed and evidenced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Re-performance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Independently repeating the control to confirm the same result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Re-benchmarking a sample of prices independently of the Product Owner's original benchmarking</w:t>
            </w:r>
          </w:p>
        </w:tc>
      </w:tr>
    </w:tbl>
    <w:p>
      <w:pPr>
        <w:pStyle w:val="Heading1"/>
        <w:spacing w:after="140" w:before="280"/>
      </w:pPr>
      <w:r>
        <w:t xml:space="preserve">4. Sampling Approach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Testing should use a risk-based sample size — larger samples for higher-risk controls (e.g., Fair Value Assessment sign-off) and smaller samples for lower-risk, high-volume controls. As a starting point, sample at least [25] instances or [10%] of the population, whichever is greater, for high-risk controls.</w:t>
      </w:r>
    </w:p>
    <w:p>
      <w:pPr>
        <w:pStyle w:val="Heading1"/>
        <w:spacing w:after="140" w:before="280"/>
      </w:pPr>
      <w:r>
        <w:t xml:space="preserve">5.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High-risk controls (e.g., FVA approval, product approval) — tested at least annually.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Medium-risk controls (e.g., communication testing sign-off) — tested every 18-24 months.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Low-risk controls — tested on a rotational basis or triggered by outcome testing findings.</w:t>
      </w:r>
    </w:p>
    <w:p>
      <w:pPr>
        <w:pStyle w:val="Heading1"/>
        <w:spacing w:after="140" w:before="280"/>
      </w:pPr>
      <w:r>
        <w:t xml:space="preserve">6. Reporting and Escalation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Control testing results are logged and, where a control is found to be ineffective, the issue is raised in the Gap Analysis Framework (CD-F1) and tracked to resolution via the Issue Remediation Tracker (CD-M2). Material control failures are reported to the Consumer Duty Oversight Committee.</w:t>
      </w:r>
    </w:p>
    <w:p>
      <w:pPr>
        <w:pStyle w:val="Heading1"/>
        <w:spacing w:after="140" w:before="280"/>
      </w:pPr>
      <w:r>
        <w:t xml:space="preserve">7.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2026-08-06T08:02:33.483Z</dcterms:created>
  <dcterms:modified xsi:type="dcterms:W3CDTF">2026-08-06T08:02:33.494Z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