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Vulnerability Identification Model Specification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Vulnerable Customers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CD-I5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Data / Customer Vulnerability]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Duty Oversight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specification defines the model and data sources [Insert Company Name] uses to identify customers who may have characteristics of vulnerability, combining staff-disclosed information with data-driven indicators, in support of the Vulnerable Customer Policy (CD-I5).</w:t>
      </w:r>
    </w:p>
    <w:p>
      <w:pPr>
        <w:pStyle w:val="Heading1"/>
        <w:spacing w:after="140" w:before="280"/>
      </w:pPr>
      <w:r>
        <w:t xml:space="preserve">2. Identification Sources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Indicators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Level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self-disclosure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tells staff directly, or ticks a disclosure option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direct evidence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observation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Behavioural cues noted during an interaction (see Recognition Guide for Staff, CD-I5)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requires corroboration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data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Missed payments pattern, sudden change in spending behaviour, contact frequency spikes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indicative, not conclusive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data (where permitted)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Data-sharing arrangements with credit reference agencies, where consented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subject to consent and accuracy</w:t>
            </w:r>
          </w:p>
        </w:tc>
      </w:tr>
    </w:tbl>
    <w:p>
      <w:pPr>
        <w:pStyle w:val="Heading1"/>
        <w:spacing w:after="140" w:before="280"/>
      </w:pPr>
      <w:r>
        <w:t xml:space="preserve">3. Model Logic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The model assigns a vulnerability flag where one high-confidence indicator is present, or where two or more medium-confidence indicators co-occur within a defined period (e.g., 90 days). Flags trigger a review by a trained member of staff before any change to how the customer is treated — the model supports human judgement, it does not replace it.</w:t>
      </w:r>
    </w:p>
    <w:p>
      <w:pPr>
        <w:pStyle w:val="Heading1"/>
        <w:spacing w:after="140" w:before="280"/>
      </w:pPr>
      <w:r>
        <w:t xml:space="preserve">4. Data Protection and Consent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Vulnerability data is special category data under UK GDPR where it relates to health. Recording and use of this data must follow the Recording Procedures Document (CD-I5) and the firm's Data Protection Policy, including appropriate lawful basis, access controls, and retention limits.</w:t>
      </w:r>
    </w:p>
    <w:p>
      <w:pPr>
        <w:pStyle w:val="Heading1"/>
        <w:spacing w:after="140" w:before="280"/>
      </w:pPr>
      <w:r>
        <w:t xml:space="preserve">5. Model Governance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model must be reviewed at least annually for accuracy, bias, and continued fitness for purpose.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False positive and false negative rates should be monitored and reported to the Consumer Duty Oversight Committee.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Any material change to the model's logic requires Committee approval before deployment.</w:t>
      </w:r>
    </w:p>
    <w:p>
      <w:pPr>
        <w:pStyle w:val="Heading1"/>
        <w:spacing w:after="140" w:before="280"/>
      </w:pPr>
      <w:r>
        <w:t xml:space="preserve">6.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2026-08-05T20:51:37.330Z</dcterms:created>
  <dcterms:modified xsi:type="dcterms:W3CDTF">2026-08-05T20:51:37.330Z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