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8"/>
          <w:szCs w:val="48"/>
        </w:rPr>
        <w:t xml:space="preserve">Vulnerability Recording Procedures</w:t>
      </w:r>
    </w:p>
    <w:p>
      <w:pPr>
        <w:spacing w:after="200"/>
        <w:jc w:val="center"/>
      </w:pPr>
      <w:r>
        <w:rPr>
          <w:rFonts w:ascii="Arial" w:cs="Arial" w:eastAsia="Arial" w:hAnsi="Arial"/>
          <w:i/>
          <w:iCs/>
          <w:color w:val="2E5C8A"/>
          <w:sz w:val="26"/>
          <w:szCs w:val="26"/>
        </w:rPr>
        <w:t xml:space="preserve">Consumer Duty Implementation — Vulnerable Customers</w:t>
      </w:r>
    </w:p>
    <w:p>
      <w:pPr>
        <w:spacing w:after="2000"/>
        <w:jc w:val="center"/>
      </w:pPr>
      <w:r>
        <w:rPr>
          <w:rFonts w:ascii="Arial" w:cs="Arial" w:eastAsia="Arial" w:hAnsi="Arial"/>
          <w:color w:val="595959"/>
          <w:sz w:val="22"/>
          <w:szCs w:val="22"/>
        </w:rPr>
        <w:t xml:space="preserve">Reference: CD-I5</w:t>
      </w:r>
    </w:p>
    <w:p>
      <w:r>
        <w:br w:type="page"/>
      </w:r>
    </w:p>
    <w:p>
      <w:pPr>
        <w:pStyle w:val="Heading1"/>
        <w:spacing w:after="140" w:before="280"/>
      </w:pPr>
      <w:r>
        <w:t xml:space="preserve">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Version</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Date</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Author</w:t>
            </w:r>
          </w:p>
        </w:tc>
        <w:tc>
          <w:tcPr>
            <w:tcW w:type="dxa" w:w="31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Summary of Changes</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Author]</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Initial draft for review</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b w:val="false"/>
          <w:bCs w:val="false"/>
          <w:i w:val="false"/>
          <w:iCs w:val="false"/>
          <w:sz w:val="21"/>
          <w:szCs w:val="21"/>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Document Owner</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Name/Role — e.g., Data Protection Officer]</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Approving Body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Consumer Duty Oversight Committee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 — recommended annual review]</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1. Purpose</w:t>
      </w:r>
    </w:p>
    <w:p>
      <w:pPr>
        <w:spacing w:after="160" w:line="276"/>
      </w:pPr>
      <w:r>
        <w:rPr>
          <w:rFonts w:ascii="Arial" w:cs="Arial" w:eastAsia="Arial" w:hAnsi="Arial"/>
          <w:b w:val="false"/>
          <w:bCs w:val="false"/>
          <w:i w:val="false"/>
          <w:iCs w:val="false"/>
          <w:sz w:val="21"/>
          <w:szCs w:val="21"/>
        </w:rPr>
        <w:t xml:space="preserve">This document sets out how [Insert Company Name] records information about customer vulnerability, ensuring it is captured consistently, proportionately, and in compliance with UK GDPR, in support of the Vulnerable Customer Policy (CD-I5).</w:t>
      </w:r>
    </w:p>
    <w:p>
      <w:pPr>
        <w:pStyle w:val="Heading1"/>
        <w:spacing w:after="140" w:before="280"/>
      </w:pPr>
      <w:r>
        <w:t xml:space="preserve">2. What to Record</w:t>
      </w:r>
    </w:p>
    <w:p>
      <w:pPr>
        <w:pStyle w:val="ListParagraph"/>
        <w:numPr>
          <w:ilvl w:val="0"/>
          <w:numId w:val="2"/>
        </w:numPr>
        <w:spacing w:after="100"/>
      </w:pPr>
      <w:r>
        <w:rPr>
          <w:rFonts w:ascii="Arial" w:cs="Arial" w:eastAsia="Arial" w:hAnsi="Arial"/>
          <w:sz w:val="21"/>
          <w:szCs w:val="21"/>
        </w:rPr>
        <w:t xml:space="preserve">The nature of the support need, in the customer's own words where possible (avoid diagnostic labels unless the customer uses them).</w:t>
      </w:r>
    </w:p>
    <w:p>
      <w:pPr>
        <w:pStyle w:val="ListParagraph"/>
        <w:numPr>
          <w:ilvl w:val="0"/>
          <w:numId w:val="2"/>
        </w:numPr>
        <w:spacing w:after="100"/>
      </w:pPr>
      <w:r>
        <w:rPr>
          <w:rFonts w:ascii="Arial" w:cs="Arial" w:eastAsia="Arial" w:hAnsi="Arial"/>
          <w:sz w:val="21"/>
          <w:szCs w:val="21"/>
        </w:rPr>
        <w:t xml:space="preserve">Any reasonable adjustments agreed (e.g., preferred contact method, additional time, named contact).</w:t>
      </w:r>
    </w:p>
    <w:p>
      <w:pPr>
        <w:pStyle w:val="ListParagraph"/>
        <w:numPr>
          <w:ilvl w:val="0"/>
          <w:numId w:val="2"/>
        </w:numPr>
        <w:spacing w:after="100"/>
      </w:pPr>
      <w:r>
        <w:rPr>
          <w:rFonts w:ascii="Arial" w:cs="Arial" w:eastAsia="Arial" w:hAnsi="Arial"/>
          <w:sz w:val="21"/>
          <w:szCs w:val="21"/>
        </w:rPr>
        <w:t xml:space="preserve">The date the information was recorded and by whom.</w:t>
      </w:r>
    </w:p>
    <w:p>
      <w:pPr>
        <w:pStyle w:val="ListParagraph"/>
        <w:numPr>
          <w:ilvl w:val="0"/>
          <w:numId w:val="2"/>
        </w:numPr>
        <w:spacing w:after="100"/>
      </w:pPr>
      <w:r>
        <w:rPr>
          <w:rFonts w:ascii="Arial" w:cs="Arial" w:eastAsia="Arial" w:hAnsi="Arial"/>
          <w:sz w:val="21"/>
          <w:szCs w:val="21"/>
        </w:rPr>
        <w:t xml:space="preserve">Whether the customer has consented to the information being retained and used to adapt future service.</w:t>
      </w:r>
    </w:p>
    <w:p>
      <w:pPr>
        <w:pStyle w:val="Heading1"/>
        <w:spacing w:after="140" w:before="280"/>
      </w:pPr>
      <w:r>
        <w:t xml:space="preserve">3. Lawful Basis and Consent</w:t>
      </w:r>
    </w:p>
    <w:p>
      <w:pPr>
        <w:spacing w:after="160" w:line="276"/>
      </w:pPr>
      <w:r>
        <w:rPr>
          <w:rFonts w:ascii="Arial" w:cs="Arial" w:eastAsia="Arial" w:hAnsi="Arial"/>
          <w:b w:val="false"/>
          <w:bCs w:val="false"/>
          <w:i w:val="false"/>
          <w:iCs w:val="false"/>
          <w:sz w:val="21"/>
          <w:szCs w:val="21"/>
        </w:rPr>
        <w:t xml:space="preserve">Health-related vulnerability data is special category data under UK GDPR. It must only be recorded with explicit consent, or under another applicable condition set out in the firm's Data Protection Policy, and staff must explain to the customer why the information is being recorded and how it will be used.</w:t>
      </w:r>
    </w:p>
    <w:p>
      <w:pPr>
        <w:pStyle w:val="Heading1"/>
        <w:spacing w:after="140" w:before="280"/>
      </w:pPr>
      <w:r>
        <w:t xml:space="preserve">4. Access and Retention</w:t>
      </w:r>
    </w:p>
    <w:p>
      <w:pPr>
        <w:pStyle w:val="ListParagraph"/>
        <w:numPr>
          <w:ilvl w:val="0"/>
          <w:numId w:val="2"/>
        </w:numPr>
        <w:spacing w:after="100"/>
      </w:pPr>
      <w:r>
        <w:rPr>
          <w:rFonts w:ascii="Arial" w:cs="Arial" w:eastAsia="Arial" w:hAnsi="Arial"/>
          <w:sz w:val="21"/>
          <w:szCs w:val="21"/>
        </w:rPr>
        <w:t xml:space="preserve">Access to vulnerability data is restricted to staff who need it to provide appropriate service.</w:t>
      </w:r>
    </w:p>
    <w:p>
      <w:pPr>
        <w:pStyle w:val="ListParagraph"/>
        <w:numPr>
          <w:ilvl w:val="0"/>
          <w:numId w:val="2"/>
        </w:numPr>
        <w:spacing w:after="100"/>
      </w:pPr>
      <w:r>
        <w:rPr>
          <w:rFonts w:ascii="Arial" w:cs="Arial" w:eastAsia="Arial" w:hAnsi="Arial"/>
          <w:sz w:val="21"/>
          <w:szCs w:val="21"/>
        </w:rPr>
        <w:t xml:space="preserve">Data is reviewed for continued relevance at each significant customer interaction, and removed or updated where no longer accurate.</w:t>
      </w:r>
    </w:p>
    <w:p>
      <w:pPr>
        <w:pStyle w:val="ListParagraph"/>
        <w:numPr>
          <w:ilvl w:val="0"/>
          <w:numId w:val="2"/>
        </w:numPr>
        <w:spacing w:after="100"/>
      </w:pPr>
      <w:r>
        <w:rPr>
          <w:rFonts w:ascii="Arial" w:cs="Arial" w:eastAsia="Arial" w:hAnsi="Arial"/>
          <w:sz w:val="21"/>
          <w:szCs w:val="21"/>
        </w:rPr>
        <w:t xml:space="preserve">Retention follows the firm's standard data retention schedule, unless the customer withdraws consent sooner.</w:t>
      </w:r>
    </w:p>
    <w:p>
      <w:pPr>
        <w:pStyle w:val="Heading1"/>
        <w:spacing w:after="140" w:before="280"/>
      </w:pPr>
      <w:r>
        <w:t xml:space="preserve">5. Customer Rights</w:t>
      </w:r>
    </w:p>
    <w:p>
      <w:pPr>
        <w:spacing w:after="160" w:line="276"/>
      </w:pPr>
      <w:r>
        <w:rPr>
          <w:rFonts w:ascii="Arial" w:cs="Arial" w:eastAsia="Arial" w:hAnsi="Arial"/>
          <w:b w:val="false"/>
          <w:bCs w:val="false"/>
          <w:i w:val="false"/>
          <w:iCs w:val="false"/>
          <w:sz w:val="21"/>
          <w:szCs w:val="21"/>
        </w:rPr>
        <w:t xml:space="preserve">Customers may ask what vulnerability information is held about them, request it be corrected or removed, and withdraw consent for its use at any time, in line with their rights under UK GDPR.</w:t>
      </w:r>
    </w:p>
    <w:p>
      <w:pPr>
        <w:pStyle w:val="Heading1"/>
        <w:spacing w:after="140" w:before="280"/>
      </w:pPr>
      <w:r>
        <w:t xml:space="preserve">6. Approval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Approved By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 Role]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Approval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bl>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2026-08-05T20:51:37.363Z</dcterms:created>
  <dcterms:modified xsi:type="dcterms:W3CDTF">2026-08-05T20:51:37.363Z</dcterms:modified>
</cp:coreProperties>
</file>

<file path=docProps/custom.xml><?xml version="1.0" encoding="utf-8"?>
<Properties xmlns="http://schemas.openxmlformats.org/officeDocument/2006/custom-properties" xmlns:vt="http://schemas.openxmlformats.org/officeDocument/2006/docPropsVTypes"/>
</file>