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Arial" w:cs="Arial" w:eastAsia="Arial" w:hAnsi="Arial"/>
          <w:b/>
          <w:bCs/>
          <w:color w:val="1F3864"/>
          <w:sz w:val="48"/>
          <w:szCs w:val="48"/>
        </w:rPr>
        <w:t xml:space="preserve">Sludge Audit Assessment Framework</w:t>
      </w:r>
    </w:p>
    <w:p>
      <w:pPr>
        <w:spacing w:after="200"/>
        <w:jc w:val="center"/>
      </w:pPr>
      <w:r>
        <w:rPr>
          <w:rFonts w:ascii="Arial" w:cs="Arial" w:eastAsia="Arial" w:hAnsi="Arial"/>
          <w:i/>
          <w:iCs/>
          <w:color w:val="2E5C8A"/>
          <w:sz w:val="26"/>
          <w:szCs w:val="26"/>
        </w:rPr>
        <w:t xml:space="preserve">Consumer Duty Implementation — Consumer Support Outcome</w:t>
      </w:r>
    </w:p>
    <w:p>
      <w:pPr>
        <w:spacing w:after="2000"/>
        <w:jc w:val="center"/>
      </w:pPr>
      <w:r>
        <w:rPr>
          <w:rFonts w:ascii="Arial" w:cs="Arial" w:eastAsia="Arial" w:hAnsi="Arial"/>
          <w:color w:val="595959"/>
          <w:sz w:val="22"/>
          <w:szCs w:val="22"/>
        </w:rPr>
        <w:t xml:space="preserve">Reference: CD-I4</w:t>
      </w:r>
    </w:p>
    <w:p>
      <w:r>
        <w:br w:type="page"/>
      </w:r>
    </w:p>
    <w:p>
      <w:pPr>
        <w:pStyle w:val="Heading1"/>
        <w:spacing w:after="140" w:before="280"/>
      </w:pPr>
      <w:r>
        <w:t xml:space="preserve">Document Control</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00"/>
            <w:shd w:fill="1F3864"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Version</w:t>
            </w:r>
          </w:p>
        </w:tc>
        <w:tc>
          <w:tcPr>
            <w:tcW w:type="dxa" w:w="2200"/>
            <w:shd w:fill="1F3864"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Date</w:t>
            </w:r>
          </w:p>
        </w:tc>
        <w:tc>
          <w:tcPr>
            <w:tcW w:type="dxa" w:w="2200"/>
            <w:shd w:fill="1F3864"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Author</w:t>
            </w:r>
          </w:p>
        </w:tc>
        <w:tc>
          <w:tcPr>
            <w:tcW w:type="dxa" w:w="3100"/>
            <w:shd w:fill="1F3864"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Summary of Changes</w:t>
            </w:r>
          </w:p>
        </w:tc>
      </w:tr>
      <w:tr>
        <w:tc>
          <w:tcPr>
            <w:tcW w:type="dxa" w:w="22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1.0</w:t>
            </w:r>
          </w:p>
        </w:tc>
        <w:tc>
          <w:tcPr>
            <w:tcW w:type="dxa" w:w="22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[Insert Date]</w:t>
            </w:r>
          </w:p>
        </w:tc>
        <w:tc>
          <w:tcPr>
            <w:tcW w:type="dxa" w:w="22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[Insert Author]</w:t>
            </w:r>
          </w:p>
        </w:tc>
        <w:tc>
          <w:tcPr>
            <w:tcW w:type="dxa" w:w="31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Initial draft for review</w:t>
            </w:r>
          </w:p>
        </w:tc>
      </w:tr>
      <w:tr>
        <w:tc>
          <w:tcPr>
            <w:tcW w:type="dxa" w:w="22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
            </w:r>
          </w:p>
        </w:tc>
        <w:tc>
          <w:tcPr>
            <w:tcW w:type="dxa" w:w="22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
            </w:r>
          </w:p>
        </w:tc>
        <w:tc>
          <w:tcPr>
            <w:tcW w:type="dxa" w:w="22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
            </w:r>
          </w:p>
        </w:tc>
        <w:tc>
          <w:tcPr>
            <w:tcW w:type="dxa" w:w="31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
            </w:r>
          </w:p>
        </w:tc>
      </w:tr>
    </w:tbl>
    <w:p>
      <w:pPr>
        <w:spacing w:after="160" w:line="276"/>
      </w:pPr>
      <w:r>
        <w:rPr>
          <w:rFonts w:ascii="Arial" w:cs="Arial" w:eastAsia="Arial" w:hAnsi="Arial"/>
          <w:b w:val="false"/>
          <w:bCs w:val="false"/>
          <w:i w:val="false"/>
          <w:iCs w:val="false"/>
          <w:sz w:val="21"/>
          <w:szCs w:val="21"/>
        </w:rPr>
        <w:t xml:space="preserve"/>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000"/>
            <w:shd w:fill="F2F2F2" w:val="clear"/>
            <w:tcMar>
              <w:top w:type="dxa" w:w="80"/>
              <w:left w:type="dxa" w:w="100"/>
              <w:bottom w:type="dxa" w:w="80"/>
              <w:right w:type="dxa" w:w="100"/>
            </w:tcMar>
            <w:vAlign w:val="center"/>
          </w:tcPr>
          <w:p>
            <w:pPr>
              <w:jc w:val="left"/>
            </w:pPr>
            <w:r>
              <w:rPr>
                <w:rFonts w:ascii="Arial" w:cs="Arial" w:eastAsia="Arial" w:hAnsi="Arial"/>
                <w:b/>
                <w:bCs/>
                <w:color w:val="000000"/>
                <w:sz w:val="20"/>
                <w:szCs w:val="20"/>
              </w:rPr>
              <w:t xml:space="preserve">Document Owner</w:t>
            </w:r>
          </w:p>
        </w:tc>
        <w:tc>
          <w:tcPr>
            <w:tcW w:type="dxa" w:w="67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[Insert Name/Role]</w:t>
            </w:r>
          </w:p>
        </w:tc>
      </w:tr>
      <w:tr>
        <w:tc>
          <w:tcPr>
            <w:tcW w:type="dxa" w:w="3000"/>
            <w:shd w:fill="F2F2F2" w:val="clear"/>
            <w:tcMar>
              <w:top w:type="dxa" w:w="80"/>
              <w:left w:type="dxa" w:w="100"/>
              <w:bottom w:type="dxa" w:w="80"/>
              <w:right w:type="dxa" w:w="100"/>
            </w:tcMar>
            <w:vAlign w:val="center"/>
          </w:tcPr>
          <w:p>
            <w:pPr>
              <w:jc w:val="left"/>
            </w:pPr>
            <w:r>
              <w:rPr>
                <w:rFonts w:ascii="Arial" w:cs="Arial" w:eastAsia="Arial" w:hAnsi="Arial"/>
                <w:b/>
                <w:bCs/>
                <w:color w:val="000000"/>
                <w:sz w:val="20"/>
                <w:szCs w:val="20"/>
              </w:rPr>
              <w:t xml:space="preserve">Approving Body</w:t>
            </w:r>
          </w:p>
        </w:tc>
        <w:tc>
          <w:tcPr>
            <w:tcW w:type="dxa" w:w="67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Consumer Duty Oversight Committee</w:t>
            </w:r>
          </w:p>
        </w:tc>
      </w:tr>
      <w:tr>
        <w:tc>
          <w:tcPr>
            <w:tcW w:type="dxa" w:w="3000"/>
            <w:shd w:fill="F2F2F2" w:val="clear"/>
            <w:tcMar>
              <w:top w:type="dxa" w:w="80"/>
              <w:left w:type="dxa" w:w="100"/>
              <w:bottom w:type="dxa" w:w="80"/>
              <w:right w:type="dxa" w:w="100"/>
            </w:tcMar>
            <w:vAlign w:val="center"/>
          </w:tcPr>
          <w:p>
            <w:pPr>
              <w:jc w:val="left"/>
            </w:pPr>
            <w:r>
              <w:rPr>
                <w:rFonts w:ascii="Arial" w:cs="Arial" w:eastAsia="Arial" w:hAnsi="Arial"/>
                <w:b/>
                <w:bCs/>
                <w:color w:val="000000"/>
                <w:sz w:val="20"/>
                <w:szCs w:val="20"/>
              </w:rPr>
              <w:t xml:space="preserve">Next Review Date</w:t>
            </w:r>
          </w:p>
        </w:tc>
        <w:tc>
          <w:tcPr>
            <w:tcW w:type="dxa" w:w="67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[Insert Date — recommended annual review]</w:t>
            </w:r>
          </w:p>
        </w:tc>
      </w:tr>
    </w:tbl>
    <w:p>
      <w:pPr>
        <w:spacing w:after="160" w:line="276"/>
      </w:pPr>
      <w:r>
        <w:rPr>
          <w:rFonts w:ascii="Arial" w:cs="Arial" w:eastAsia="Arial" w:hAnsi="Arial"/>
          <w:b w:val="false"/>
          <w:bCs w:val="false"/>
          <w:i w:val="false"/>
          <w:iCs w:val="false"/>
          <w:sz w:val="21"/>
          <w:szCs w:val="21"/>
        </w:rPr>
        <w:t xml:space="preserve"/>
      </w:r>
    </w:p>
    <w:p>
      <w:pPr>
        <w:pStyle w:val="Heading1"/>
        <w:spacing w:after="140" w:before="280"/>
      </w:pPr>
      <w:r>
        <w:t xml:space="preserve">1. Purpose</w:t>
      </w:r>
    </w:p>
    <w:p>
      <w:pPr>
        <w:spacing w:after="160" w:line="276"/>
      </w:pPr>
      <w:r>
        <w:rPr>
          <w:rFonts w:ascii="Arial" w:cs="Arial" w:eastAsia="Arial" w:hAnsi="Arial"/>
          <w:b w:val="false"/>
          <w:bCs w:val="false"/>
          <w:i w:val="false"/>
          <w:iCs w:val="false"/>
          <w:sz w:val="21"/>
          <w:szCs w:val="21"/>
        </w:rPr>
        <w:t xml:space="preserve">'Sludge practices' are unreasonable barriers or friction that make it harder for customers to act in their own interests — for example, to switch, cancel, complain, or claim. This framework sets out how [Insert Company Name] identifies and removes sludge practices, in line with PRIN 2A.6 (the Consumer Support Outcome).</w:t>
      </w:r>
    </w:p>
    <w:p>
      <w:pPr>
        <w:pStyle w:val="Heading1"/>
        <w:spacing w:after="140" w:before="280"/>
      </w:pPr>
      <w:r>
        <w:t xml:space="preserve">2. Common Sludge Practices to Audit</w:t>
      </w:r>
    </w:p>
    <w:p>
      <w:pPr>
        <w:pStyle w:val="ListParagraph"/>
        <w:numPr>
          <w:ilvl w:val="0"/>
          <w:numId w:val="2"/>
        </w:numPr>
        <w:spacing w:after="100"/>
      </w:pPr>
      <w:r>
        <w:rPr>
          <w:rFonts w:ascii="Arial" w:cs="Arial" w:eastAsia="Arial" w:hAnsi="Arial"/>
          <w:sz w:val="21"/>
          <w:szCs w:val="21"/>
        </w:rPr>
        <w:t xml:space="preserve">Requiring a phone call to cancel when the product could be purchased online.</w:t>
      </w:r>
    </w:p>
    <w:p>
      <w:pPr>
        <w:pStyle w:val="ListParagraph"/>
        <w:numPr>
          <w:ilvl w:val="0"/>
          <w:numId w:val="2"/>
        </w:numPr>
        <w:spacing w:after="100"/>
      </w:pPr>
      <w:r>
        <w:rPr>
          <w:rFonts w:ascii="Arial" w:cs="Arial" w:eastAsia="Arial" w:hAnsi="Arial"/>
          <w:sz w:val="21"/>
          <w:szCs w:val="21"/>
        </w:rPr>
        <w:t xml:space="preserve">Excessive verification steps for straightforward requests.</w:t>
      </w:r>
    </w:p>
    <w:p>
      <w:pPr>
        <w:pStyle w:val="ListParagraph"/>
        <w:numPr>
          <w:ilvl w:val="0"/>
          <w:numId w:val="2"/>
        </w:numPr>
        <w:spacing w:after="100"/>
      </w:pPr>
      <w:r>
        <w:rPr>
          <w:rFonts w:ascii="Arial" w:cs="Arial" w:eastAsia="Arial" w:hAnsi="Arial"/>
          <w:sz w:val="21"/>
          <w:szCs w:val="21"/>
        </w:rPr>
        <w:t xml:space="preserve">Long hold times or limited hours for cancellation/complaints channels specifically (vs sales channels).</w:t>
      </w:r>
    </w:p>
    <w:p>
      <w:pPr>
        <w:pStyle w:val="ListParagraph"/>
        <w:numPr>
          <w:ilvl w:val="0"/>
          <w:numId w:val="2"/>
        </w:numPr>
        <w:spacing w:after="100"/>
      </w:pPr>
      <w:r>
        <w:rPr>
          <w:rFonts w:ascii="Arial" w:cs="Arial" w:eastAsia="Arial" w:hAnsi="Arial"/>
          <w:sz w:val="21"/>
          <w:szCs w:val="21"/>
        </w:rPr>
        <w:t xml:space="preserve">Confusing or hidden cancellation processes buried in account settings.</w:t>
      </w:r>
    </w:p>
    <w:p>
      <w:pPr>
        <w:pStyle w:val="ListParagraph"/>
        <w:numPr>
          <w:ilvl w:val="0"/>
          <w:numId w:val="2"/>
        </w:numPr>
        <w:spacing w:after="100"/>
      </w:pPr>
      <w:r>
        <w:rPr>
          <w:rFonts w:ascii="Arial" w:cs="Arial" w:eastAsia="Arial" w:hAnsi="Arial"/>
          <w:sz w:val="21"/>
          <w:szCs w:val="21"/>
        </w:rPr>
        <w:t xml:space="preserve">Retention offers or scripts that delay or discourage a customer's stated intention to leave.</w:t>
      </w:r>
    </w:p>
    <w:p>
      <w:pPr>
        <w:pStyle w:val="ListParagraph"/>
        <w:numPr>
          <w:ilvl w:val="0"/>
          <w:numId w:val="2"/>
        </w:numPr>
        <w:spacing w:after="100"/>
      </w:pPr>
      <w:r>
        <w:rPr>
          <w:rFonts w:ascii="Arial" w:cs="Arial" w:eastAsia="Arial" w:hAnsi="Arial"/>
          <w:sz w:val="21"/>
          <w:szCs w:val="21"/>
        </w:rPr>
        <w:t xml:space="preserve">Default auto-renewal without clear, timely notice and an easy opt-out.</w:t>
      </w:r>
    </w:p>
    <w:p>
      <w:pPr>
        <w:pStyle w:val="Heading1"/>
        <w:spacing w:after="140" w:before="280"/>
      </w:pPr>
      <w:r>
        <w:t xml:space="preserve">3. Audit Methodology</w:t>
      </w:r>
    </w:p>
    <w:p>
      <w:pPr>
        <w:pStyle w:val="ListParagraph"/>
        <w:numPr>
          <w:ilvl w:val="0"/>
          <w:numId w:val="3"/>
        </w:numPr>
        <w:spacing w:after="100"/>
      </w:pPr>
      <w:r>
        <w:rPr>
          <w:rFonts w:ascii="Arial" w:cs="Arial" w:eastAsia="Arial" w:hAnsi="Arial"/>
          <w:sz w:val="21"/>
          <w:szCs w:val="21"/>
        </w:rPr>
        <w:t xml:space="preserve">Mystery-shop or process-map each 'exit' journey (cancel, switch, complain, claim) end-to-end.</w:t>
      </w:r>
    </w:p>
    <w:p>
      <w:pPr>
        <w:pStyle w:val="ListParagraph"/>
        <w:numPr>
          <w:ilvl w:val="0"/>
          <w:numId w:val="3"/>
        </w:numPr>
        <w:spacing w:after="100"/>
      </w:pPr>
      <w:r>
        <w:rPr>
          <w:rFonts w:ascii="Arial" w:cs="Arial" w:eastAsia="Arial" w:hAnsi="Arial"/>
          <w:sz w:val="21"/>
          <w:szCs w:val="21"/>
        </w:rPr>
        <w:t xml:space="preserve">Compare the effort required to exit against the effort required to purchase the same product.</w:t>
      </w:r>
    </w:p>
    <w:p>
      <w:pPr>
        <w:pStyle w:val="ListParagraph"/>
        <w:numPr>
          <w:ilvl w:val="0"/>
          <w:numId w:val="3"/>
        </w:numPr>
        <w:spacing w:after="100"/>
      </w:pPr>
      <w:r>
        <w:rPr>
          <w:rFonts w:ascii="Arial" w:cs="Arial" w:eastAsia="Arial" w:hAnsi="Arial"/>
          <w:sz w:val="21"/>
          <w:szCs w:val="21"/>
        </w:rPr>
        <w:t xml:space="preserve">Score each journey using the Effort Comparison Scale in Section 4.</w:t>
      </w:r>
    </w:p>
    <w:p>
      <w:pPr>
        <w:pStyle w:val="ListParagraph"/>
        <w:numPr>
          <w:ilvl w:val="0"/>
          <w:numId w:val="3"/>
        </w:numPr>
        <w:spacing w:after="100"/>
      </w:pPr>
      <w:r>
        <w:rPr>
          <w:rFonts w:ascii="Arial" w:cs="Arial" w:eastAsia="Arial" w:hAnsi="Arial"/>
          <w:sz w:val="21"/>
          <w:szCs w:val="21"/>
        </w:rPr>
        <w:t xml:space="preserve">Interview front-line staff on any retention scripts or targets that could create conflicts of interest.</w:t>
      </w:r>
    </w:p>
    <w:p>
      <w:pPr>
        <w:pStyle w:val="ListParagraph"/>
        <w:numPr>
          <w:ilvl w:val="0"/>
          <w:numId w:val="3"/>
        </w:numPr>
        <w:spacing w:after="100"/>
      </w:pPr>
      <w:r>
        <w:rPr>
          <w:rFonts w:ascii="Arial" w:cs="Arial" w:eastAsia="Arial" w:hAnsi="Arial"/>
          <w:sz w:val="21"/>
          <w:szCs w:val="21"/>
        </w:rPr>
        <w:t xml:space="preserve">Log findings and remediation actions in the Gap Analysis Framework (CD-F1).</w:t>
      </w:r>
    </w:p>
    <w:p>
      <w:pPr>
        <w:pStyle w:val="Heading1"/>
        <w:spacing w:after="140" w:before="280"/>
      </w:pPr>
      <w:r>
        <w:t xml:space="preserve">4. Effort Comparison Scale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500"/>
            <w:shd w:fill="1F3864"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Rating</w:t>
            </w:r>
          </w:p>
        </w:tc>
        <w:tc>
          <w:tcPr>
            <w:tcW w:type="dxa" w:w="7200"/>
            <w:shd w:fill="1F3864"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Definition</w:t>
            </w:r>
          </w:p>
        </w:tc>
      </w:tr>
      <w:tr>
        <w:tc>
          <w:tcPr>
            <w:tcW w:type="dxa" w:w="25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Equal or Easier</w:t>
            </w:r>
          </w:p>
        </w:tc>
        <w:tc>
          <w:tcPr>
            <w:tcW w:type="dxa" w:w="72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Exiting requires the same or fewer steps than purchasing.</w:t>
            </w:r>
          </w:p>
        </w:tc>
      </w:tr>
      <w:tr>
        <w:tc>
          <w:tcPr>
            <w:tcW w:type="dxa" w:w="25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Moderately Harder</w:t>
            </w:r>
          </w:p>
        </w:tc>
        <w:tc>
          <w:tcPr>
            <w:tcW w:type="dxa" w:w="72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Exiting requires noticeably more steps, but remains reasonable.</w:t>
            </w:r>
          </w:p>
        </w:tc>
      </w:tr>
      <w:tr>
        <w:tc>
          <w:tcPr>
            <w:tcW w:type="dxa" w:w="25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Significantly Harder</w:t>
            </w:r>
          </w:p>
        </w:tc>
        <w:tc>
          <w:tcPr>
            <w:tcW w:type="dxa" w:w="72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Exiting requires materially more effort than purchasing — treat as a sludge practice requiring remediation.</w:t>
            </w:r>
          </w:p>
        </w:tc>
      </w:tr>
    </w:tbl>
    <w:p>
      <w:pPr>
        <w:pStyle w:val="Heading1"/>
        <w:spacing w:after="140" w:before="280"/>
      </w:pPr>
      <w:r>
        <w:t xml:space="preserve">5. Governance</w:t>
      </w:r>
    </w:p>
    <w:p>
      <w:pPr>
        <w:spacing w:after="160" w:line="276"/>
      </w:pPr>
      <w:r>
        <w:rPr>
          <w:rFonts w:ascii="Arial" w:cs="Arial" w:eastAsia="Arial" w:hAnsi="Arial"/>
          <w:b w:val="false"/>
          <w:bCs w:val="false"/>
          <w:i w:val="false"/>
          <w:iCs w:val="false"/>
          <w:sz w:val="21"/>
          <w:szCs w:val="21"/>
        </w:rPr>
        <w:t xml:space="preserve">Sludge audits should be conducted at least annually for each key customer journey, and results reported to the Consumer Duty Oversight Committee. Any journey rated 'Significantly Harder' should be treated as a priority gap under the Gap Analysis Framework (CD-F1).</w:t>
      </w:r>
    </w:p>
    <w:p>
      <w:pPr>
        <w:pStyle w:val="Heading1"/>
        <w:spacing w:after="140" w:before="280"/>
      </w:pPr>
      <w:r>
        <w:t xml:space="preserve">6. Approval</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000"/>
            <w:shd w:fill="F2F2F2" w:val="clear"/>
            <w:tcMar>
              <w:top w:type="dxa" w:w="80"/>
              <w:left w:type="dxa" w:w="100"/>
              <w:bottom w:type="dxa" w:w="80"/>
              <w:right w:type="dxa" w:w="100"/>
            </w:tcMar>
            <w:vAlign w:val="center"/>
          </w:tcPr>
          <w:p>
            <w:pPr>
              <w:jc w:val="left"/>
            </w:pPr>
            <w:r>
              <w:rPr>
                <w:rFonts w:ascii="Arial" w:cs="Arial" w:eastAsia="Arial" w:hAnsi="Arial"/>
                <w:b/>
                <w:bCs/>
                <w:color w:val="000000"/>
                <w:sz w:val="20"/>
                <w:szCs w:val="20"/>
              </w:rPr>
              <w:t xml:space="preserve">Approved By</w:t>
            </w:r>
          </w:p>
        </w:tc>
        <w:tc>
          <w:tcPr>
            <w:tcW w:type="dxa" w:w="67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[Insert Name, Role]</w:t>
            </w:r>
          </w:p>
        </w:tc>
      </w:tr>
      <w:tr>
        <w:tc>
          <w:tcPr>
            <w:tcW w:type="dxa" w:w="3000"/>
            <w:shd w:fill="F2F2F2" w:val="clear"/>
            <w:tcMar>
              <w:top w:type="dxa" w:w="80"/>
              <w:left w:type="dxa" w:w="100"/>
              <w:bottom w:type="dxa" w:w="80"/>
              <w:right w:type="dxa" w:w="100"/>
            </w:tcMar>
            <w:vAlign w:val="center"/>
          </w:tcPr>
          <w:p>
            <w:pPr>
              <w:jc w:val="left"/>
            </w:pPr>
            <w:r>
              <w:rPr>
                <w:rFonts w:ascii="Arial" w:cs="Arial" w:eastAsia="Arial" w:hAnsi="Arial"/>
                <w:b/>
                <w:bCs/>
                <w:color w:val="000000"/>
                <w:sz w:val="20"/>
                <w:szCs w:val="20"/>
              </w:rPr>
              <w:t xml:space="preserve">Approval Date</w:t>
            </w:r>
          </w:p>
        </w:tc>
        <w:tc>
          <w:tcPr>
            <w:tcW w:type="dxa" w:w="67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[Insert Date]</w:t>
            </w:r>
          </w:p>
        </w:tc>
      </w:tr>
      <w:tr>
        <w:tc>
          <w:tcPr>
            <w:tcW w:type="dxa" w:w="3000"/>
            <w:shd w:fill="F2F2F2" w:val="clear"/>
            <w:tcMar>
              <w:top w:type="dxa" w:w="80"/>
              <w:left w:type="dxa" w:w="100"/>
              <w:bottom w:type="dxa" w:w="80"/>
              <w:right w:type="dxa" w:w="100"/>
            </w:tcMar>
            <w:vAlign w:val="center"/>
          </w:tcPr>
          <w:p>
            <w:pPr>
              <w:jc w:val="left"/>
            </w:pPr>
            <w:r>
              <w:rPr>
                <w:rFonts w:ascii="Arial" w:cs="Arial" w:eastAsia="Arial" w:hAnsi="Arial"/>
                <w:b/>
                <w:bCs/>
                <w:color w:val="000000"/>
                <w:sz w:val="20"/>
                <w:szCs w:val="20"/>
              </w:rPr>
              <w:t xml:space="preserve">Next Review Date</w:t>
            </w:r>
          </w:p>
        </w:tc>
        <w:tc>
          <w:tcPr>
            <w:tcW w:type="dxa" w:w="67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[Insert Date]</w:t>
            </w:r>
          </w:p>
        </w:tc>
      </w:tr>
    </w:tbl>
    <w:sectPr>
      <w:footerReference w:type="default" r:id="rId7"/>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CONFIDENTIAL — Internal Use Only   |   Page </w:t>
    </w:r>
    <w:r>
      <w:rPr>
        <w:rFonts w:ascii="Arial" w:cs="Arial" w:eastAsia="Arial" w:hAnsi="Arial"/>
        <w:color w:val="808080"/>
        <w:sz w:val="16"/>
        <w:szCs w:val="16"/>
      </w:rPr>
      <w:fldChar w:fldCharType="begin"/>
      <w:instrText xml:space="preserve">PAGE</w:instrText>
      <w:fldChar w:fldCharType="separate"/>
      <w:fldChar w:fldCharType="end"/>
    </w:r>
    <w:r>
      <w:rPr>
        <w:rFonts w:ascii="Arial" w:cs="Arial" w:eastAsia="Arial" w:hAnsi="Arial"/>
        <w:color w:val="808080"/>
        <w:sz w:val="16"/>
        <w:szCs w:val="16"/>
      </w:rPr>
      <w:t xml:space="preserve"> of </w:t>
    </w:r>
    <w:r>
      <w:rPr>
        <w:rFonts w:ascii="Arial" w:cs="Arial" w:eastAsia="Arial" w:hAnsi="Arial"/>
        <w:color w:val="808080"/>
        <w:sz w:val="16"/>
        <w:szCs w:val="16"/>
      </w:rPr>
      <w:fldChar w:fldCharType="begin"/>
      <w:instrText xml:space="preserve">NUMPAGES</w:instrText>
      <w:fldChar w:fldCharType="separate"/>
      <w:fldChar w:fldCharType="end"/>
    </w:r>
  </w:p>
  <w:p>
    <w:pPr>
      <w:jc w:val="center"/>
    </w:pPr>
    <w:r>
      <w:rPr>
        <w:rFonts w:ascii="Arial" w:cs="Arial" w:eastAsia="Arial" w:hAnsi="Arial"/>
        <w:color w:val="808080"/>
        <w:sz w:val="16"/>
        <w:szCs w:val="16"/>
      </w:rPr>
      <w:t xml:space="preserve">© 2026 xPercept.ai. Copyright and confidential. Do not distribute.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2026-08-05T20:51:37.300Z</dcterms:created>
  <dcterms:modified xsi:type="dcterms:W3CDTF">2026-08-05T20:51:37.300Z</dcterms:modified>
</cp:coreProperties>
</file>

<file path=docProps/custom.xml><?xml version="1.0" encoding="utf-8"?>
<Properties xmlns="http://schemas.openxmlformats.org/officeDocument/2006/custom-properties" xmlns:vt="http://schemas.openxmlformats.org/officeDocument/2006/docPropsVTypes"/>
</file>